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82" w:rsidRPr="008F1B73" w:rsidRDefault="00103582" w:rsidP="001C6E09">
      <w:pPr>
        <w:tabs>
          <w:tab w:val="left" w:pos="9214"/>
        </w:tabs>
        <w:spacing w:after="0" w:line="276" w:lineRule="auto"/>
        <w:ind w:right="-30"/>
        <w:jc w:val="right"/>
        <w:rPr>
          <w:rFonts w:ascii="Times New Roman" w:hAnsi="Times New Roman" w:cs="Times New Roman"/>
          <w:b/>
          <w:shd w:val="clear" w:color="auto" w:fill="FFFFFF"/>
        </w:rPr>
      </w:pPr>
      <w:r w:rsidRPr="008F1B73">
        <w:rPr>
          <w:rFonts w:ascii="Times New Roman" w:hAnsi="Times New Roman" w:cs="Times New Roman"/>
          <w:b/>
          <w:shd w:val="clear" w:color="auto" w:fill="FFFFFF"/>
        </w:rPr>
        <w:t>УДК 330.101.5</w:t>
      </w:r>
    </w:p>
    <w:p w:rsidR="00603168" w:rsidRPr="008F1B73" w:rsidRDefault="00603168" w:rsidP="001C6E09">
      <w:pPr>
        <w:tabs>
          <w:tab w:val="left" w:pos="9214"/>
        </w:tabs>
        <w:spacing w:after="0" w:line="276" w:lineRule="auto"/>
        <w:ind w:right="-30"/>
        <w:jc w:val="right"/>
        <w:rPr>
          <w:rFonts w:ascii="Times New Roman" w:hAnsi="Times New Roman" w:cs="Times New Roman"/>
          <w:b/>
          <w:shd w:val="clear" w:color="auto" w:fill="FFFFFF"/>
        </w:rPr>
      </w:pPr>
      <w:r w:rsidRPr="008F1B73">
        <w:rPr>
          <w:rFonts w:ascii="Times New Roman" w:hAnsi="Times New Roman" w:cs="Times New Roman"/>
          <w:b/>
          <w:shd w:val="clear" w:color="auto" w:fill="FFFFFF"/>
        </w:rPr>
        <w:t>Н. М. Михальчук</w:t>
      </w:r>
    </w:p>
    <w:p w:rsidR="00603168" w:rsidRPr="008F1B73" w:rsidRDefault="00603168" w:rsidP="001C6E09">
      <w:pPr>
        <w:tabs>
          <w:tab w:val="left" w:pos="9214"/>
        </w:tabs>
        <w:spacing w:after="0" w:line="276" w:lineRule="auto"/>
        <w:ind w:right="-30"/>
        <w:jc w:val="right"/>
        <w:rPr>
          <w:rFonts w:ascii="Times New Roman" w:hAnsi="Times New Roman" w:cs="Times New Roman"/>
          <w:b/>
          <w:shd w:val="clear" w:color="auto" w:fill="FFFFFF"/>
        </w:rPr>
      </w:pPr>
      <w:r w:rsidRPr="008F1B73">
        <w:rPr>
          <w:rFonts w:ascii="Times New Roman" w:hAnsi="Times New Roman" w:cs="Times New Roman"/>
          <w:b/>
          <w:shd w:val="clear" w:color="auto" w:fill="FFFFFF"/>
        </w:rPr>
        <w:t>Н. Я. Савка</w:t>
      </w:r>
    </w:p>
    <w:p w:rsidR="006C7875" w:rsidRPr="008F1B73" w:rsidRDefault="006C7875" w:rsidP="001C6E09">
      <w:pPr>
        <w:tabs>
          <w:tab w:val="left" w:pos="9214"/>
        </w:tabs>
        <w:spacing w:after="0" w:line="276" w:lineRule="auto"/>
        <w:ind w:right="-30"/>
        <w:jc w:val="right"/>
        <w:rPr>
          <w:rFonts w:ascii="Times New Roman" w:hAnsi="Times New Roman" w:cs="Times New Roman"/>
          <w:shd w:val="clear" w:color="auto" w:fill="FFFFFF"/>
        </w:rPr>
      </w:pPr>
      <w:r w:rsidRPr="008F1B73">
        <w:rPr>
          <w:rFonts w:ascii="Times New Roman" w:hAnsi="Times New Roman" w:cs="Times New Roman"/>
          <w:shd w:val="clear" w:color="auto" w:fill="FFFFFF"/>
        </w:rPr>
        <w:t>Тернопільський національний економічний університет</w:t>
      </w:r>
    </w:p>
    <w:p w:rsidR="006C7875" w:rsidRPr="008F1B73" w:rsidRDefault="006C7875" w:rsidP="001C6E09">
      <w:pPr>
        <w:tabs>
          <w:tab w:val="left" w:pos="9214"/>
        </w:tabs>
        <w:spacing w:after="0" w:line="276" w:lineRule="auto"/>
        <w:ind w:right="-30"/>
        <w:jc w:val="right"/>
        <w:rPr>
          <w:rFonts w:ascii="Times New Roman" w:hAnsi="Times New Roman" w:cs="Times New Roman"/>
          <w:shd w:val="clear" w:color="auto" w:fill="FFFFFF"/>
        </w:rPr>
      </w:pPr>
      <w:r w:rsidRPr="008F1B73">
        <w:rPr>
          <w:rFonts w:ascii="Times New Roman" w:hAnsi="Times New Roman" w:cs="Times New Roman"/>
          <w:shd w:val="clear" w:color="auto" w:fill="FFFFFF"/>
        </w:rPr>
        <w:t>кафедра фінансово-економічної безпеки та інтелектуальної власності</w:t>
      </w:r>
    </w:p>
    <w:p w:rsidR="001C6E09" w:rsidRPr="008F1B73" w:rsidRDefault="006C7875" w:rsidP="001C6E09">
      <w:pPr>
        <w:tabs>
          <w:tab w:val="left" w:pos="9214"/>
        </w:tabs>
        <w:spacing w:after="0" w:line="276" w:lineRule="auto"/>
        <w:ind w:right="-30"/>
        <w:jc w:val="right"/>
        <w:rPr>
          <w:rFonts w:ascii="Times New Roman" w:hAnsi="Times New Roman" w:cs="Times New Roman"/>
          <w:shd w:val="clear" w:color="auto" w:fill="FFFFFF"/>
        </w:rPr>
      </w:pPr>
      <w:r w:rsidRPr="008F1B73">
        <w:rPr>
          <w:rFonts w:ascii="Times New Roman" w:hAnsi="Times New Roman" w:cs="Times New Roman"/>
          <w:shd w:val="clear" w:color="auto" w:fill="FFFFFF"/>
        </w:rPr>
        <w:t>кафедра компʼютерних наук</w:t>
      </w:r>
    </w:p>
    <w:p w:rsidR="00C43FC9" w:rsidRPr="008F1B73" w:rsidRDefault="006C7875" w:rsidP="001C6E09">
      <w:pPr>
        <w:spacing w:after="0" w:line="276" w:lineRule="auto"/>
        <w:jc w:val="center"/>
        <w:rPr>
          <w:rFonts w:ascii="Times New Roman" w:hAnsi="Times New Roman" w:cs="Times New Roman"/>
          <w:b/>
          <w:sz w:val="26"/>
          <w:szCs w:val="26"/>
        </w:rPr>
      </w:pPr>
      <w:r w:rsidRPr="008F1B73">
        <w:rPr>
          <w:rFonts w:ascii="Times New Roman" w:hAnsi="Times New Roman" w:cs="Times New Roman"/>
          <w:b/>
          <w:sz w:val="26"/>
          <w:szCs w:val="26"/>
        </w:rPr>
        <w:t>МОДЕЛЮВАННЯ ПОДАТКОВО-БОРГОВОЇ СКЛАДОВОЇ ФІНАНСОВОЇ БЕЗПЕКИ НА ОСНОВІ ШТУЧНИХ НЕЙРОННИХ МЕРЕЖ</w:t>
      </w:r>
    </w:p>
    <w:p w:rsidR="009034B9" w:rsidRPr="00A7417F" w:rsidRDefault="009034B9" w:rsidP="001C6E09">
      <w:pPr>
        <w:spacing w:after="0" w:line="276" w:lineRule="auto"/>
        <w:rPr>
          <w:rFonts w:ascii="Times New Roman" w:hAnsi="Times New Roman" w:cs="Times New Roman"/>
          <w:i/>
          <w:iCs/>
          <w:shd w:val="clear" w:color="auto" w:fill="FFFFFF"/>
          <w:lang w:val="ru-RU"/>
        </w:rPr>
      </w:pPr>
    </w:p>
    <w:p w:rsidR="001C6E09" w:rsidRPr="008F1B73" w:rsidRDefault="001C6E09" w:rsidP="001C6E09">
      <w:pPr>
        <w:spacing w:after="0" w:line="276" w:lineRule="auto"/>
        <w:rPr>
          <w:rFonts w:ascii="Times New Roman" w:hAnsi="Times New Roman" w:cs="Times New Roman"/>
          <w:i/>
          <w:iCs/>
          <w:shd w:val="clear" w:color="auto" w:fill="FFFFFF"/>
        </w:rPr>
      </w:pPr>
      <w:r w:rsidRPr="008F1B73">
        <w:rPr>
          <w:rFonts w:ascii="Times New Roman" w:hAnsi="Times New Roman" w:cs="Times New Roman"/>
          <w:i/>
          <w:iCs/>
          <w:shd w:val="clear" w:color="auto" w:fill="FFFFFF"/>
        </w:rPr>
        <w:t>© Михальчук Н. М., </w:t>
      </w:r>
      <w:r w:rsidRPr="008F1B73">
        <w:rPr>
          <w:rStyle w:val="apple-converted-space"/>
          <w:rFonts w:ascii="Times New Roman" w:hAnsi="Times New Roman" w:cs="Times New Roman"/>
          <w:i/>
          <w:iCs/>
          <w:shd w:val="clear" w:color="auto" w:fill="FFFFFF"/>
        </w:rPr>
        <w:t> </w:t>
      </w:r>
      <w:r w:rsidR="00E82CB9" w:rsidRPr="008F1B73">
        <w:rPr>
          <w:rStyle w:val="apple-converted-space"/>
          <w:rFonts w:ascii="Times New Roman" w:hAnsi="Times New Roman" w:cs="Times New Roman"/>
          <w:i/>
          <w:iCs/>
          <w:shd w:val="clear" w:color="auto" w:fill="FFFFFF"/>
        </w:rPr>
        <w:t xml:space="preserve">Савка Н. Я., </w:t>
      </w:r>
      <w:r w:rsidR="00E82CB9" w:rsidRPr="008F1B73">
        <w:rPr>
          <w:rFonts w:ascii="Times New Roman" w:hAnsi="Times New Roman" w:cs="Times New Roman"/>
          <w:i/>
          <w:iCs/>
          <w:shd w:val="clear" w:color="auto" w:fill="FFFFFF"/>
        </w:rPr>
        <w:t>2015</w:t>
      </w:r>
    </w:p>
    <w:p w:rsidR="005C7D57" w:rsidRPr="008F1B73" w:rsidRDefault="005C7D57" w:rsidP="001C6E09">
      <w:pPr>
        <w:spacing w:after="0" w:line="276" w:lineRule="auto"/>
        <w:rPr>
          <w:rFonts w:ascii="Times New Roman" w:hAnsi="Times New Roman" w:cs="Times New Roman"/>
          <w:i/>
          <w:iCs/>
          <w:shd w:val="clear" w:color="auto" w:fill="FFFFFF"/>
        </w:rPr>
      </w:pPr>
    </w:p>
    <w:p w:rsidR="00075ADD" w:rsidRPr="00344BE6" w:rsidRDefault="005C7D57" w:rsidP="00CB0DDC">
      <w:pPr>
        <w:spacing w:after="0" w:line="276" w:lineRule="auto"/>
        <w:ind w:firstLine="567"/>
        <w:jc w:val="both"/>
        <w:rPr>
          <w:rFonts w:ascii="Times New Roman" w:hAnsi="Times New Roman" w:cs="Times New Roman"/>
          <w:b/>
          <w:i/>
          <w:iCs/>
        </w:rPr>
      </w:pPr>
      <w:r w:rsidRPr="00344BE6">
        <w:rPr>
          <w:rFonts w:ascii="Times New Roman" w:hAnsi="Times New Roman" w:cs="Times New Roman"/>
          <w:b/>
          <w:i/>
          <w:iCs/>
          <w:shd w:val="clear" w:color="auto" w:fill="FFFFFF"/>
        </w:rPr>
        <w:t xml:space="preserve">У статті </w:t>
      </w:r>
      <w:r w:rsidR="00075ADD" w:rsidRPr="00344BE6">
        <w:rPr>
          <w:rFonts w:ascii="Times New Roman" w:hAnsi="Times New Roman" w:cs="Times New Roman"/>
          <w:b/>
          <w:i/>
          <w:iCs/>
          <w:shd w:val="clear" w:color="auto" w:fill="FFFFFF"/>
        </w:rPr>
        <w:t>запропоновано методику моделювання податково-боргової компоненти фінансової безпеки держави.</w:t>
      </w:r>
      <w:r w:rsidR="00075ADD" w:rsidRPr="00344BE6">
        <w:rPr>
          <w:rFonts w:ascii="Times New Roman" w:hAnsi="Times New Roman" w:cs="Times New Roman"/>
          <w:b/>
          <w:i/>
          <w:iCs/>
        </w:rPr>
        <w:t xml:space="preserve"> Теоретично обґрунтована доцільність поєднання в методиці нормативно-індикативної оцінки з нейромережевими технологіями.</w:t>
      </w:r>
      <w:r w:rsidR="00EF65C7" w:rsidRPr="00344BE6">
        <w:rPr>
          <w:rFonts w:ascii="Times New Roman" w:hAnsi="Times New Roman" w:cs="Times New Roman"/>
          <w:b/>
          <w:i/>
          <w:iCs/>
        </w:rPr>
        <w:t xml:space="preserve"> Здійснено аналіз вплив</w:t>
      </w:r>
      <w:r w:rsidR="001257D3">
        <w:rPr>
          <w:rFonts w:ascii="Times New Roman" w:hAnsi="Times New Roman" w:cs="Times New Roman"/>
          <w:b/>
          <w:i/>
          <w:iCs/>
        </w:rPr>
        <w:t>у</w:t>
      </w:r>
      <w:r w:rsidR="00EF65C7" w:rsidRPr="00344BE6">
        <w:rPr>
          <w:rFonts w:ascii="Times New Roman" w:hAnsi="Times New Roman" w:cs="Times New Roman"/>
          <w:b/>
          <w:i/>
          <w:iCs/>
        </w:rPr>
        <w:t xml:space="preserve"> податкової заборгованості на фінансову безпеку за двома інд</w:t>
      </w:r>
      <w:r w:rsidR="00344BE6">
        <w:rPr>
          <w:rFonts w:ascii="Times New Roman" w:hAnsi="Times New Roman" w:cs="Times New Roman"/>
          <w:b/>
          <w:i/>
          <w:iCs/>
        </w:rPr>
        <w:t>и</w:t>
      </w:r>
      <w:r w:rsidR="00EF65C7" w:rsidRPr="00344BE6">
        <w:rPr>
          <w:rFonts w:ascii="Times New Roman" w:hAnsi="Times New Roman" w:cs="Times New Roman"/>
          <w:b/>
          <w:i/>
          <w:iCs/>
        </w:rPr>
        <w:t>каторами: податковим навантаженням та рівнем тінізації економіки.</w:t>
      </w:r>
    </w:p>
    <w:p w:rsidR="00075ADD" w:rsidRPr="00344BE6" w:rsidRDefault="00075ADD" w:rsidP="00CB0DDC">
      <w:pPr>
        <w:spacing w:after="0" w:line="276" w:lineRule="auto"/>
        <w:ind w:firstLine="567"/>
        <w:jc w:val="both"/>
        <w:rPr>
          <w:rFonts w:ascii="Times New Roman" w:hAnsi="Times New Roman" w:cs="Times New Roman"/>
          <w:b/>
          <w:i/>
        </w:rPr>
      </w:pPr>
      <w:r w:rsidRPr="00344BE6">
        <w:rPr>
          <w:rFonts w:ascii="Times New Roman" w:hAnsi="Times New Roman" w:cs="Times New Roman"/>
          <w:b/>
          <w:i/>
        </w:rPr>
        <w:t>Ключові слова: под</w:t>
      </w:r>
      <w:r w:rsidR="00107A1D" w:rsidRPr="00344BE6">
        <w:rPr>
          <w:rFonts w:ascii="Times New Roman" w:hAnsi="Times New Roman" w:cs="Times New Roman"/>
          <w:b/>
          <w:i/>
        </w:rPr>
        <w:t xml:space="preserve">аткова заборгованість, </w:t>
      </w:r>
      <w:r w:rsidRPr="00344BE6">
        <w:rPr>
          <w:rFonts w:ascii="Times New Roman" w:hAnsi="Times New Roman" w:cs="Times New Roman"/>
          <w:b/>
          <w:i/>
        </w:rPr>
        <w:t xml:space="preserve">фінансова безпека держави, </w:t>
      </w:r>
      <w:r w:rsidR="00107A1D" w:rsidRPr="00344BE6">
        <w:rPr>
          <w:rFonts w:ascii="Times New Roman" w:hAnsi="Times New Roman" w:cs="Times New Roman"/>
          <w:b/>
          <w:i/>
        </w:rPr>
        <w:t>методика оцінки податкового боргу, штучні нейронні мережі.</w:t>
      </w:r>
      <w:r w:rsidRPr="00344BE6">
        <w:rPr>
          <w:rFonts w:ascii="Times New Roman" w:hAnsi="Times New Roman" w:cs="Times New Roman"/>
          <w:b/>
          <w:i/>
        </w:rPr>
        <w:t xml:space="preserve"> </w:t>
      </w:r>
    </w:p>
    <w:p w:rsidR="005C7D57" w:rsidRPr="008F1B73" w:rsidRDefault="005C7D57" w:rsidP="005C7D57">
      <w:pPr>
        <w:spacing w:after="0" w:line="276" w:lineRule="auto"/>
        <w:ind w:firstLine="567"/>
        <w:rPr>
          <w:rFonts w:ascii="Times New Roman" w:hAnsi="Times New Roman" w:cs="Times New Roman"/>
          <w:i/>
          <w:iCs/>
          <w:shd w:val="clear" w:color="auto" w:fill="FFFFFF"/>
        </w:rPr>
      </w:pPr>
    </w:p>
    <w:p w:rsidR="005C7D57" w:rsidRPr="008F1B73" w:rsidRDefault="005C7D57" w:rsidP="005C7D57">
      <w:pPr>
        <w:spacing w:after="0" w:line="276" w:lineRule="auto"/>
        <w:ind w:firstLine="567"/>
        <w:jc w:val="right"/>
        <w:rPr>
          <w:rFonts w:ascii="Times New Roman" w:hAnsi="Times New Roman" w:cs="Times New Roman"/>
          <w:b/>
          <w:iCs/>
          <w:shd w:val="clear" w:color="auto" w:fill="FFFFFF"/>
        </w:rPr>
      </w:pPr>
      <w:r w:rsidRPr="008F1B73">
        <w:rPr>
          <w:rFonts w:ascii="Times New Roman" w:hAnsi="Times New Roman" w:cs="Times New Roman"/>
          <w:b/>
          <w:iCs/>
          <w:shd w:val="clear" w:color="auto" w:fill="FFFFFF"/>
        </w:rPr>
        <w:t>N. Mykhalchuk</w:t>
      </w:r>
    </w:p>
    <w:p w:rsidR="005C7D57" w:rsidRPr="008F1B73" w:rsidRDefault="005C7D57" w:rsidP="005C7D57">
      <w:pPr>
        <w:spacing w:after="0" w:line="276" w:lineRule="auto"/>
        <w:ind w:firstLine="567"/>
        <w:jc w:val="right"/>
        <w:rPr>
          <w:rFonts w:ascii="Times New Roman" w:hAnsi="Times New Roman" w:cs="Times New Roman"/>
          <w:b/>
          <w:iCs/>
          <w:shd w:val="clear" w:color="auto" w:fill="FFFFFF"/>
        </w:rPr>
      </w:pPr>
      <w:r w:rsidRPr="008F1B73">
        <w:rPr>
          <w:rFonts w:ascii="Times New Roman" w:hAnsi="Times New Roman" w:cs="Times New Roman"/>
          <w:b/>
          <w:iCs/>
          <w:shd w:val="clear" w:color="auto" w:fill="FFFFFF"/>
        </w:rPr>
        <w:t xml:space="preserve">                         N. Savka</w:t>
      </w:r>
      <w:r w:rsidRPr="008F1B73">
        <w:rPr>
          <w:rFonts w:ascii="Times New Roman" w:hAnsi="Times New Roman" w:cs="Times New Roman"/>
          <w:b/>
          <w:iCs/>
          <w:shd w:val="clear" w:color="auto" w:fill="FFFFFF"/>
        </w:rPr>
        <w:tab/>
      </w:r>
    </w:p>
    <w:p w:rsidR="005C7D57" w:rsidRPr="008F1B73" w:rsidRDefault="005C7D57" w:rsidP="005C7D57">
      <w:pPr>
        <w:spacing w:after="0" w:line="276" w:lineRule="auto"/>
        <w:ind w:firstLine="567"/>
        <w:jc w:val="right"/>
        <w:rPr>
          <w:rFonts w:ascii="Times New Roman" w:hAnsi="Times New Roman" w:cs="Times New Roman"/>
          <w:b/>
          <w:iCs/>
          <w:shd w:val="clear" w:color="auto" w:fill="FFFFFF"/>
        </w:rPr>
      </w:pPr>
      <w:r w:rsidRPr="008F1B73">
        <w:rPr>
          <w:rFonts w:ascii="Times New Roman" w:hAnsi="Times New Roman" w:cs="Times New Roman"/>
          <w:b/>
          <w:iCs/>
          <w:shd w:val="clear" w:color="auto" w:fill="FFFFFF"/>
        </w:rPr>
        <w:t xml:space="preserve">Ternopil </w:t>
      </w:r>
      <w:r w:rsidRPr="008F1B73">
        <w:rPr>
          <w:rFonts w:ascii="Times New Roman" w:hAnsi="Times New Roman" w:cs="Times New Roman"/>
          <w:b/>
          <w:iCs/>
          <w:shd w:val="clear" w:color="auto" w:fill="FFFFFF"/>
          <w:lang w:val="en-US"/>
        </w:rPr>
        <w:t>n</w:t>
      </w:r>
      <w:r w:rsidRPr="008F1B73">
        <w:rPr>
          <w:rFonts w:ascii="Times New Roman" w:hAnsi="Times New Roman" w:cs="Times New Roman"/>
          <w:b/>
          <w:iCs/>
          <w:shd w:val="clear" w:color="auto" w:fill="FFFFFF"/>
        </w:rPr>
        <w:t xml:space="preserve">ational </w:t>
      </w:r>
      <w:r w:rsidRPr="008F1B73">
        <w:rPr>
          <w:rFonts w:ascii="Times New Roman" w:hAnsi="Times New Roman" w:cs="Times New Roman"/>
          <w:b/>
          <w:iCs/>
          <w:shd w:val="clear" w:color="auto" w:fill="FFFFFF"/>
          <w:lang w:val="en-US"/>
        </w:rPr>
        <w:t>e</w:t>
      </w:r>
      <w:r w:rsidRPr="008F1B73">
        <w:rPr>
          <w:rFonts w:ascii="Times New Roman" w:hAnsi="Times New Roman" w:cs="Times New Roman"/>
          <w:b/>
          <w:iCs/>
          <w:shd w:val="clear" w:color="auto" w:fill="FFFFFF"/>
        </w:rPr>
        <w:t xml:space="preserve">conomic </w:t>
      </w:r>
      <w:r w:rsidRPr="008F1B73">
        <w:rPr>
          <w:rFonts w:ascii="Times New Roman" w:hAnsi="Times New Roman" w:cs="Times New Roman"/>
          <w:b/>
          <w:iCs/>
          <w:shd w:val="clear" w:color="auto" w:fill="FFFFFF"/>
          <w:lang w:val="en-US"/>
        </w:rPr>
        <w:t>u</w:t>
      </w:r>
      <w:r w:rsidRPr="008F1B73">
        <w:rPr>
          <w:rFonts w:ascii="Times New Roman" w:hAnsi="Times New Roman" w:cs="Times New Roman"/>
          <w:b/>
          <w:iCs/>
          <w:shd w:val="clear" w:color="auto" w:fill="FFFFFF"/>
        </w:rPr>
        <w:t>niversity</w:t>
      </w:r>
    </w:p>
    <w:p w:rsidR="005C7D57" w:rsidRPr="008F1B73" w:rsidRDefault="005C7D57" w:rsidP="005C7D57">
      <w:pPr>
        <w:spacing w:after="0" w:line="276" w:lineRule="auto"/>
        <w:ind w:firstLine="567"/>
        <w:jc w:val="right"/>
        <w:rPr>
          <w:rFonts w:ascii="Times New Roman" w:hAnsi="Times New Roman" w:cs="Times New Roman"/>
          <w:b/>
          <w:iCs/>
          <w:shd w:val="clear" w:color="auto" w:fill="FFFFFF"/>
        </w:rPr>
      </w:pPr>
      <w:proofErr w:type="gramStart"/>
      <w:r w:rsidRPr="008F1B73">
        <w:rPr>
          <w:rFonts w:ascii="Times New Roman" w:hAnsi="Times New Roman" w:cs="Times New Roman"/>
          <w:b/>
          <w:iCs/>
          <w:shd w:val="clear" w:color="auto" w:fill="FFFFFF"/>
          <w:lang w:val="en-US"/>
        </w:rPr>
        <w:t>d</w:t>
      </w:r>
      <w:r w:rsidRPr="008F1B73">
        <w:rPr>
          <w:rFonts w:ascii="Times New Roman" w:hAnsi="Times New Roman" w:cs="Times New Roman"/>
          <w:b/>
          <w:iCs/>
          <w:shd w:val="clear" w:color="auto" w:fill="FFFFFF"/>
        </w:rPr>
        <w:t>epartment</w:t>
      </w:r>
      <w:proofErr w:type="gramEnd"/>
      <w:r w:rsidRPr="008F1B73">
        <w:rPr>
          <w:rFonts w:ascii="Times New Roman" w:hAnsi="Times New Roman" w:cs="Times New Roman"/>
          <w:b/>
          <w:iCs/>
          <w:shd w:val="clear" w:color="auto" w:fill="FFFFFF"/>
        </w:rPr>
        <w:t xml:space="preserve"> of </w:t>
      </w:r>
      <w:r w:rsidRPr="008F1B73">
        <w:rPr>
          <w:rFonts w:ascii="Times New Roman" w:hAnsi="Times New Roman" w:cs="Times New Roman"/>
          <w:b/>
          <w:iCs/>
          <w:shd w:val="clear" w:color="auto" w:fill="FFFFFF"/>
          <w:lang w:val="en-US"/>
        </w:rPr>
        <w:t>f</w:t>
      </w:r>
      <w:r w:rsidRPr="008F1B73">
        <w:rPr>
          <w:rFonts w:ascii="Times New Roman" w:hAnsi="Times New Roman" w:cs="Times New Roman"/>
          <w:b/>
          <w:iCs/>
          <w:shd w:val="clear" w:color="auto" w:fill="FFFFFF"/>
        </w:rPr>
        <w:t xml:space="preserve">inancial and </w:t>
      </w:r>
      <w:r w:rsidRPr="008F1B73">
        <w:rPr>
          <w:rFonts w:ascii="Times New Roman" w:hAnsi="Times New Roman" w:cs="Times New Roman"/>
          <w:b/>
          <w:iCs/>
          <w:shd w:val="clear" w:color="auto" w:fill="FFFFFF"/>
          <w:lang w:val="en-US"/>
        </w:rPr>
        <w:t>e</w:t>
      </w:r>
      <w:r w:rsidRPr="008F1B73">
        <w:rPr>
          <w:rFonts w:ascii="Times New Roman" w:hAnsi="Times New Roman" w:cs="Times New Roman"/>
          <w:b/>
          <w:iCs/>
          <w:shd w:val="clear" w:color="auto" w:fill="FFFFFF"/>
        </w:rPr>
        <w:t xml:space="preserve">conomic </w:t>
      </w:r>
      <w:r w:rsidRPr="008F1B73">
        <w:rPr>
          <w:rFonts w:ascii="Times New Roman" w:hAnsi="Times New Roman" w:cs="Times New Roman"/>
          <w:b/>
          <w:iCs/>
          <w:shd w:val="clear" w:color="auto" w:fill="FFFFFF"/>
          <w:lang w:val="en-US"/>
        </w:rPr>
        <w:t>s</w:t>
      </w:r>
      <w:r w:rsidRPr="008F1B73">
        <w:rPr>
          <w:rFonts w:ascii="Times New Roman" w:hAnsi="Times New Roman" w:cs="Times New Roman"/>
          <w:b/>
          <w:iCs/>
          <w:shd w:val="clear" w:color="auto" w:fill="FFFFFF"/>
        </w:rPr>
        <w:t xml:space="preserve">ecurity and </w:t>
      </w:r>
      <w:proofErr w:type="spellStart"/>
      <w:r w:rsidRPr="008F1B73">
        <w:rPr>
          <w:rFonts w:ascii="Times New Roman" w:hAnsi="Times New Roman" w:cs="Times New Roman"/>
          <w:b/>
          <w:iCs/>
          <w:shd w:val="clear" w:color="auto" w:fill="FFFFFF"/>
          <w:lang w:val="en-US"/>
        </w:rPr>
        <w:t>i</w:t>
      </w:r>
      <w:proofErr w:type="spellEnd"/>
      <w:r w:rsidRPr="008F1B73">
        <w:rPr>
          <w:rFonts w:ascii="Times New Roman" w:hAnsi="Times New Roman" w:cs="Times New Roman"/>
          <w:b/>
          <w:iCs/>
          <w:shd w:val="clear" w:color="auto" w:fill="FFFFFF"/>
        </w:rPr>
        <w:t xml:space="preserve">ntellectual </w:t>
      </w:r>
      <w:r w:rsidRPr="008F1B73">
        <w:rPr>
          <w:rFonts w:ascii="Times New Roman" w:hAnsi="Times New Roman" w:cs="Times New Roman"/>
          <w:b/>
          <w:iCs/>
          <w:shd w:val="clear" w:color="auto" w:fill="FFFFFF"/>
          <w:lang w:val="en-US"/>
        </w:rPr>
        <w:t>p</w:t>
      </w:r>
      <w:r w:rsidRPr="008F1B73">
        <w:rPr>
          <w:rFonts w:ascii="Times New Roman" w:hAnsi="Times New Roman" w:cs="Times New Roman"/>
          <w:b/>
          <w:iCs/>
          <w:shd w:val="clear" w:color="auto" w:fill="FFFFFF"/>
        </w:rPr>
        <w:t>roperty</w:t>
      </w:r>
    </w:p>
    <w:p w:rsidR="005C7D57" w:rsidRPr="008F1B73" w:rsidRDefault="005C7D57" w:rsidP="005C7D57">
      <w:pPr>
        <w:spacing w:after="0" w:line="276" w:lineRule="auto"/>
        <w:ind w:firstLine="567"/>
        <w:jc w:val="right"/>
        <w:rPr>
          <w:rFonts w:ascii="Times New Roman" w:hAnsi="Times New Roman" w:cs="Times New Roman"/>
          <w:b/>
          <w:iCs/>
          <w:shd w:val="clear" w:color="auto" w:fill="FFFFFF"/>
        </w:rPr>
      </w:pPr>
      <w:proofErr w:type="gramStart"/>
      <w:r w:rsidRPr="008F1B73">
        <w:rPr>
          <w:rFonts w:ascii="Times New Roman" w:hAnsi="Times New Roman" w:cs="Times New Roman"/>
          <w:b/>
          <w:iCs/>
          <w:shd w:val="clear" w:color="auto" w:fill="FFFFFF"/>
          <w:lang w:val="en-US"/>
        </w:rPr>
        <w:t>d</w:t>
      </w:r>
      <w:r w:rsidRPr="008F1B73">
        <w:rPr>
          <w:rFonts w:ascii="Times New Roman" w:hAnsi="Times New Roman" w:cs="Times New Roman"/>
          <w:b/>
          <w:iCs/>
          <w:shd w:val="clear" w:color="auto" w:fill="FFFFFF"/>
        </w:rPr>
        <w:t>epartment</w:t>
      </w:r>
      <w:proofErr w:type="gramEnd"/>
      <w:r w:rsidRPr="008F1B73">
        <w:rPr>
          <w:rFonts w:ascii="Times New Roman" w:hAnsi="Times New Roman" w:cs="Times New Roman"/>
          <w:b/>
          <w:iCs/>
          <w:shd w:val="clear" w:color="auto" w:fill="FFFFFF"/>
        </w:rPr>
        <w:t xml:space="preserve"> of </w:t>
      </w:r>
      <w:r w:rsidRPr="008F1B73">
        <w:rPr>
          <w:rFonts w:ascii="Times New Roman" w:hAnsi="Times New Roman" w:cs="Times New Roman"/>
          <w:b/>
          <w:iCs/>
          <w:shd w:val="clear" w:color="auto" w:fill="FFFFFF"/>
          <w:lang w:val="en-US"/>
        </w:rPr>
        <w:t>c</w:t>
      </w:r>
      <w:r w:rsidRPr="008F1B73">
        <w:rPr>
          <w:rFonts w:ascii="Times New Roman" w:hAnsi="Times New Roman" w:cs="Times New Roman"/>
          <w:b/>
          <w:iCs/>
          <w:shd w:val="clear" w:color="auto" w:fill="FFFFFF"/>
        </w:rPr>
        <w:t xml:space="preserve">omputer </w:t>
      </w:r>
      <w:r w:rsidRPr="008F1B73">
        <w:rPr>
          <w:rFonts w:ascii="Times New Roman" w:hAnsi="Times New Roman" w:cs="Times New Roman"/>
          <w:b/>
          <w:iCs/>
          <w:shd w:val="clear" w:color="auto" w:fill="FFFFFF"/>
          <w:lang w:val="en-US"/>
        </w:rPr>
        <w:t>s</w:t>
      </w:r>
      <w:r w:rsidRPr="008F1B73">
        <w:rPr>
          <w:rFonts w:ascii="Times New Roman" w:hAnsi="Times New Roman" w:cs="Times New Roman"/>
          <w:b/>
          <w:iCs/>
          <w:shd w:val="clear" w:color="auto" w:fill="FFFFFF"/>
        </w:rPr>
        <w:t>cience</w:t>
      </w:r>
    </w:p>
    <w:p w:rsidR="005C7D57" w:rsidRPr="008F1B73" w:rsidRDefault="00374CAC" w:rsidP="005C7D57">
      <w:pPr>
        <w:spacing w:after="0" w:line="276" w:lineRule="auto"/>
        <w:ind w:firstLine="567"/>
        <w:jc w:val="center"/>
        <w:rPr>
          <w:rFonts w:ascii="Times New Roman" w:hAnsi="Times New Roman" w:cs="Times New Roman"/>
          <w:b/>
          <w:iCs/>
          <w:shd w:val="clear" w:color="auto" w:fill="FFFFFF"/>
          <w:lang w:val="en-US"/>
        </w:rPr>
      </w:pPr>
      <w:r>
        <w:rPr>
          <w:rFonts w:ascii="Times New Roman" w:hAnsi="Times New Roman" w:cs="Times New Roman"/>
          <w:b/>
          <w:iCs/>
          <w:shd w:val="clear" w:color="auto" w:fill="FFFFFF"/>
        </w:rPr>
        <w:t>MODELING OF TAX</w:t>
      </w:r>
      <w:r>
        <w:rPr>
          <w:rFonts w:ascii="Times New Roman" w:hAnsi="Times New Roman" w:cs="Times New Roman"/>
          <w:b/>
          <w:iCs/>
          <w:shd w:val="clear" w:color="auto" w:fill="FFFFFF"/>
          <w:lang w:val="en-US"/>
        </w:rPr>
        <w:t>-</w:t>
      </w:r>
      <w:r>
        <w:rPr>
          <w:rFonts w:ascii="Times New Roman" w:hAnsi="Times New Roman" w:cs="Times New Roman"/>
          <w:b/>
          <w:iCs/>
          <w:shd w:val="clear" w:color="auto" w:fill="FFFFFF"/>
        </w:rPr>
        <w:t>DEBT</w:t>
      </w:r>
      <w:r w:rsidRPr="00374CAC">
        <w:rPr>
          <w:rFonts w:ascii="Times New Roman" w:hAnsi="Times New Roman" w:cs="Times New Roman"/>
          <w:b/>
          <w:iCs/>
          <w:shd w:val="clear" w:color="auto" w:fill="FFFFFF"/>
        </w:rPr>
        <w:t xml:space="preserve"> </w:t>
      </w:r>
      <w:r w:rsidRPr="008F1B73">
        <w:rPr>
          <w:rFonts w:ascii="Times New Roman" w:hAnsi="Times New Roman" w:cs="Times New Roman"/>
          <w:b/>
          <w:iCs/>
          <w:shd w:val="clear" w:color="auto" w:fill="FFFFFF"/>
        </w:rPr>
        <w:t xml:space="preserve">COMPONENT </w:t>
      </w:r>
      <w:r>
        <w:rPr>
          <w:rFonts w:ascii="Times New Roman" w:hAnsi="Times New Roman" w:cs="Times New Roman"/>
          <w:b/>
          <w:iCs/>
          <w:shd w:val="clear" w:color="auto" w:fill="FFFFFF"/>
          <w:lang w:val="en-US"/>
        </w:rPr>
        <w:t xml:space="preserve">OF </w:t>
      </w:r>
      <w:r w:rsidR="005C7D57" w:rsidRPr="008F1B73">
        <w:rPr>
          <w:rFonts w:ascii="Times New Roman" w:hAnsi="Times New Roman" w:cs="Times New Roman"/>
          <w:b/>
          <w:iCs/>
          <w:shd w:val="clear" w:color="auto" w:fill="FFFFFF"/>
        </w:rPr>
        <w:t>FINANCIAL SECURITY BASED ON ARTIFICIAL NEURAL NETWORKS</w:t>
      </w:r>
    </w:p>
    <w:p w:rsidR="009034B9" w:rsidRDefault="009034B9" w:rsidP="005C7D57">
      <w:pPr>
        <w:spacing w:after="0" w:line="276" w:lineRule="auto"/>
        <w:ind w:firstLine="567"/>
        <w:rPr>
          <w:rFonts w:ascii="Times New Roman" w:hAnsi="Times New Roman" w:cs="Times New Roman"/>
          <w:i/>
          <w:iCs/>
          <w:shd w:val="clear" w:color="auto" w:fill="FFFFFF"/>
          <w:lang w:val="en-US"/>
        </w:rPr>
      </w:pPr>
    </w:p>
    <w:p w:rsidR="005C7D57" w:rsidRPr="008F1B73" w:rsidRDefault="005C7D57" w:rsidP="005C7D57">
      <w:pPr>
        <w:spacing w:after="0" w:line="276" w:lineRule="auto"/>
        <w:ind w:firstLine="567"/>
        <w:rPr>
          <w:rFonts w:ascii="Times New Roman" w:hAnsi="Times New Roman" w:cs="Times New Roman"/>
          <w:i/>
          <w:iCs/>
          <w:shd w:val="clear" w:color="auto" w:fill="FFFFFF"/>
        </w:rPr>
      </w:pPr>
      <w:r w:rsidRPr="008F1B73">
        <w:rPr>
          <w:rFonts w:ascii="Times New Roman" w:hAnsi="Times New Roman" w:cs="Times New Roman"/>
          <w:i/>
          <w:iCs/>
          <w:shd w:val="clear" w:color="auto" w:fill="FFFFFF"/>
        </w:rPr>
        <w:t>©</w:t>
      </w:r>
      <w:r w:rsidRPr="00A7417F">
        <w:rPr>
          <w:rFonts w:ascii="Times New Roman" w:hAnsi="Times New Roman" w:cs="Times New Roman"/>
          <w:i/>
          <w:iCs/>
          <w:shd w:val="clear" w:color="auto" w:fill="FFFFFF"/>
          <w:lang w:val="en-US"/>
        </w:rPr>
        <w:t xml:space="preserve"> </w:t>
      </w:r>
      <w:r w:rsidRPr="008F1B73">
        <w:rPr>
          <w:rFonts w:ascii="Times New Roman" w:hAnsi="Times New Roman" w:cs="Times New Roman"/>
          <w:i/>
          <w:iCs/>
          <w:shd w:val="clear" w:color="auto" w:fill="FFFFFF"/>
        </w:rPr>
        <w:t>N. Mykhalchuk</w:t>
      </w:r>
      <w:r w:rsidRPr="00A7417F">
        <w:rPr>
          <w:rFonts w:ascii="Times New Roman" w:hAnsi="Times New Roman" w:cs="Times New Roman"/>
          <w:i/>
          <w:iCs/>
          <w:shd w:val="clear" w:color="auto" w:fill="FFFFFF"/>
          <w:lang w:val="en-US"/>
        </w:rPr>
        <w:t xml:space="preserve">, </w:t>
      </w:r>
      <w:r w:rsidRPr="008F1B73">
        <w:rPr>
          <w:rFonts w:ascii="Times New Roman" w:hAnsi="Times New Roman" w:cs="Times New Roman"/>
          <w:i/>
          <w:iCs/>
          <w:shd w:val="clear" w:color="auto" w:fill="FFFFFF"/>
        </w:rPr>
        <w:t>N. Savka</w:t>
      </w:r>
      <w:r w:rsidRPr="00A7417F">
        <w:rPr>
          <w:rFonts w:ascii="Times New Roman" w:hAnsi="Times New Roman" w:cs="Times New Roman"/>
          <w:i/>
          <w:iCs/>
          <w:shd w:val="clear" w:color="auto" w:fill="FFFFFF"/>
          <w:lang w:val="en-US"/>
        </w:rPr>
        <w:t>, 2015</w:t>
      </w:r>
      <w:r w:rsidRPr="008F1B73">
        <w:rPr>
          <w:rFonts w:ascii="Times New Roman" w:hAnsi="Times New Roman" w:cs="Times New Roman"/>
          <w:i/>
          <w:iCs/>
          <w:shd w:val="clear" w:color="auto" w:fill="FFFFFF"/>
        </w:rPr>
        <w:tab/>
      </w:r>
    </w:p>
    <w:p w:rsidR="009034B9" w:rsidRDefault="009034B9" w:rsidP="00CB0DDC">
      <w:pPr>
        <w:spacing w:after="0" w:line="276" w:lineRule="auto"/>
        <w:ind w:firstLine="567"/>
        <w:jc w:val="both"/>
        <w:rPr>
          <w:rFonts w:ascii="Times New Roman" w:hAnsi="Times New Roman" w:cs="Times New Roman"/>
          <w:i/>
          <w:iCs/>
          <w:shd w:val="clear" w:color="auto" w:fill="FFFFFF"/>
          <w:lang w:val="en-US"/>
        </w:rPr>
      </w:pPr>
    </w:p>
    <w:p w:rsidR="00CB0DDC" w:rsidRPr="00B732FD" w:rsidRDefault="00CB0DDC" w:rsidP="00CB0DDC">
      <w:pPr>
        <w:spacing w:after="0" w:line="276" w:lineRule="auto"/>
        <w:ind w:firstLine="567"/>
        <w:jc w:val="both"/>
        <w:rPr>
          <w:rFonts w:ascii="Times New Roman" w:hAnsi="Times New Roman" w:cs="Times New Roman"/>
          <w:b/>
          <w:i/>
          <w:iCs/>
          <w:shd w:val="clear" w:color="auto" w:fill="FFFFFF"/>
          <w:lang w:val="en-US"/>
        </w:rPr>
      </w:pPr>
      <w:r w:rsidRPr="00B732FD">
        <w:rPr>
          <w:rFonts w:ascii="Times New Roman" w:hAnsi="Times New Roman" w:cs="Times New Roman"/>
          <w:b/>
          <w:i/>
          <w:iCs/>
          <w:shd w:val="clear" w:color="auto" w:fill="FFFFFF"/>
        </w:rPr>
        <w:t xml:space="preserve">In the article </w:t>
      </w:r>
      <w:r w:rsidRPr="00B732FD">
        <w:rPr>
          <w:rFonts w:ascii="Times New Roman" w:hAnsi="Times New Roman" w:cs="Times New Roman"/>
          <w:b/>
          <w:i/>
          <w:iCs/>
          <w:shd w:val="clear" w:color="auto" w:fill="FFFFFF"/>
          <w:lang w:val="en-US"/>
        </w:rPr>
        <w:t xml:space="preserve">it was proposed </w:t>
      </w:r>
      <w:r w:rsidRPr="00B732FD">
        <w:rPr>
          <w:rFonts w:ascii="Times New Roman" w:hAnsi="Times New Roman" w:cs="Times New Roman"/>
          <w:b/>
          <w:i/>
          <w:iCs/>
          <w:shd w:val="clear" w:color="auto" w:fill="FFFFFF"/>
        </w:rPr>
        <w:t xml:space="preserve">the method of modeling the tax-debt component </w:t>
      </w:r>
      <w:r w:rsidRPr="00B732FD">
        <w:rPr>
          <w:rFonts w:ascii="Times New Roman" w:hAnsi="Times New Roman" w:cs="Times New Roman"/>
          <w:b/>
          <w:i/>
          <w:iCs/>
          <w:shd w:val="clear" w:color="auto" w:fill="FFFFFF"/>
          <w:lang w:val="en-US"/>
        </w:rPr>
        <w:t xml:space="preserve">of state </w:t>
      </w:r>
      <w:r w:rsidRPr="00B732FD">
        <w:rPr>
          <w:rFonts w:ascii="Times New Roman" w:hAnsi="Times New Roman" w:cs="Times New Roman"/>
          <w:b/>
          <w:i/>
          <w:iCs/>
          <w:shd w:val="clear" w:color="auto" w:fill="FFFFFF"/>
        </w:rPr>
        <w:t xml:space="preserve">financial security. The expediency </w:t>
      </w:r>
      <w:r w:rsidRPr="00B732FD">
        <w:rPr>
          <w:rFonts w:ascii="Times New Roman" w:hAnsi="Times New Roman" w:cs="Times New Roman"/>
          <w:b/>
          <w:i/>
          <w:iCs/>
          <w:shd w:val="clear" w:color="auto" w:fill="FFFFFF"/>
          <w:lang w:val="en-US"/>
        </w:rPr>
        <w:t xml:space="preserve">of </w:t>
      </w:r>
      <w:r w:rsidRPr="00B732FD">
        <w:rPr>
          <w:rFonts w:ascii="Times New Roman" w:hAnsi="Times New Roman" w:cs="Times New Roman"/>
          <w:b/>
          <w:i/>
          <w:iCs/>
          <w:shd w:val="clear" w:color="auto" w:fill="FFFFFF"/>
        </w:rPr>
        <w:t xml:space="preserve">combination </w:t>
      </w:r>
      <w:r w:rsidRPr="00B732FD">
        <w:rPr>
          <w:rFonts w:ascii="Times New Roman" w:hAnsi="Times New Roman" w:cs="Times New Roman"/>
          <w:b/>
          <w:i/>
          <w:iCs/>
          <w:shd w:val="clear" w:color="auto" w:fill="FFFFFF"/>
          <w:lang w:val="en-US"/>
        </w:rPr>
        <w:t xml:space="preserve">in </w:t>
      </w:r>
      <w:r w:rsidRPr="00B732FD">
        <w:rPr>
          <w:rFonts w:ascii="Times New Roman" w:hAnsi="Times New Roman" w:cs="Times New Roman"/>
          <w:b/>
          <w:i/>
          <w:iCs/>
          <w:shd w:val="clear" w:color="auto" w:fill="FFFFFF"/>
        </w:rPr>
        <w:t xml:space="preserve">methodology </w:t>
      </w:r>
      <w:r w:rsidRPr="00B732FD">
        <w:rPr>
          <w:rFonts w:ascii="Times New Roman" w:hAnsi="Times New Roman" w:cs="Times New Roman"/>
          <w:b/>
          <w:i/>
          <w:iCs/>
          <w:shd w:val="clear" w:color="auto" w:fill="FFFFFF"/>
          <w:lang w:val="en-US"/>
        </w:rPr>
        <w:t xml:space="preserve">normative and </w:t>
      </w:r>
      <w:r w:rsidRPr="00B732FD">
        <w:rPr>
          <w:rFonts w:ascii="Times New Roman" w:hAnsi="Times New Roman" w:cs="Times New Roman"/>
          <w:b/>
          <w:i/>
          <w:iCs/>
          <w:shd w:val="clear" w:color="auto" w:fill="FFFFFF"/>
        </w:rPr>
        <w:t xml:space="preserve">indicative assessment </w:t>
      </w:r>
      <w:r w:rsidRPr="00B732FD">
        <w:rPr>
          <w:rFonts w:ascii="Times New Roman" w:hAnsi="Times New Roman" w:cs="Times New Roman"/>
          <w:b/>
          <w:i/>
          <w:iCs/>
          <w:shd w:val="clear" w:color="auto" w:fill="FFFFFF"/>
          <w:lang w:val="en-US"/>
        </w:rPr>
        <w:t xml:space="preserve">and </w:t>
      </w:r>
      <w:r w:rsidRPr="00B732FD">
        <w:rPr>
          <w:rFonts w:ascii="Times New Roman" w:hAnsi="Times New Roman" w:cs="Times New Roman"/>
          <w:b/>
          <w:i/>
          <w:iCs/>
          <w:shd w:val="clear" w:color="auto" w:fill="FFFFFF"/>
        </w:rPr>
        <w:t xml:space="preserve">artificial neural network </w:t>
      </w:r>
      <w:r w:rsidRPr="00B732FD">
        <w:rPr>
          <w:rFonts w:ascii="Times New Roman" w:hAnsi="Times New Roman" w:cs="Times New Roman"/>
          <w:b/>
          <w:i/>
          <w:iCs/>
          <w:shd w:val="clear" w:color="auto" w:fill="FFFFFF"/>
          <w:lang w:val="en-US"/>
        </w:rPr>
        <w:t>was t</w:t>
      </w:r>
      <w:r w:rsidRPr="00B732FD">
        <w:rPr>
          <w:rFonts w:ascii="Times New Roman" w:hAnsi="Times New Roman" w:cs="Times New Roman"/>
          <w:b/>
          <w:i/>
          <w:iCs/>
          <w:shd w:val="clear" w:color="auto" w:fill="FFFFFF"/>
        </w:rPr>
        <w:t>heoretically</w:t>
      </w:r>
      <w:r w:rsidRPr="00B732FD">
        <w:rPr>
          <w:rFonts w:ascii="Times New Roman" w:hAnsi="Times New Roman" w:cs="Times New Roman"/>
          <w:b/>
          <w:i/>
          <w:iCs/>
          <w:shd w:val="clear" w:color="auto" w:fill="FFFFFF"/>
          <w:lang w:val="en-US"/>
        </w:rPr>
        <w:t xml:space="preserve"> grounded</w:t>
      </w:r>
      <w:r w:rsidR="001257D3" w:rsidRPr="00B732FD">
        <w:rPr>
          <w:rFonts w:ascii="Times New Roman" w:hAnsi="Times New Roman" w:cs="Times New Roman"/>
          <w:b/>
          <w:i/>
          <w:iCs/>
          <w:shd w:val="clear" w:color="auto" w:fill="FFFFFF"/>
        </w:rPr>
        <w:t xml:space="preserve">. </w:t>
      </w:r>
      <w:r w:rsidR="001257D3" w:rsidRPr="00B732FD">
        <w:rPr>
          <w:rFonts w:ascii="Times New Roman" w:hAnsi="Times New Roman" w:cs="Times New Roman"/>
          <w:b/>
          <w:i/>
          <w:iCs/>
          <w:shd w:val="clear" w:color="auto" w:fill="FFFFFF"/>
          <w:lang w:val="en-US"/>
        </w:rPr>
        <w:t>It was</w:t>
      </w:r>
      <w:r w:rsidR="001257D3" w:rsidRPr="00B732FD">
        <w:rPr>
          <w:rFonts w:ascii="Times New Roman" w:hAnsi="Times New Roman" w:cs="Times New Roman"/>
          <w:b/>
          <w:i/>
          <w:iCs/>
          <w:shd w:val="clear" w:color="auto" w:fill="FFFFFF"/>
        </w:rPr>
        <w:t xml:space="preserve"> analys</w:t>
      </w:r>
      <w:proofErr w:type="spellStart"/>
      <w:r w:rsidR="001257D3" w:rsidRPr="00B732FD">
        <w:rPr>
          <w:rFonts w:ascii="Times New Roman" w:hAnsi="Times New Roman" w:cs="Times New Roman"/>
          <w:b/>
          <w:i/>
          <w:iCs/>
          <w:shd w:val="clear" w:color="auto" w:fill="FFFFFF"/>
          <w:lang w:val="en-US"/>
        </w:rPr>
        <w:t>ed</w:t>
      </w:r>
      <w:proofErr w:type="spellEnd"/>
      <w:r w:rsidR="001257D3" w:rsidRPr="00B732FD">
        <w:rPr>
          <w:rFonts w:ascii="Times New Roman" w:hAnsi="Times New Roman" w:cs="Times New Roman"/>
          <w:b/>
          <w:i/>
          <w:iCs/>
          <w:shd w:val="clear" w:color="auto" w:fill="FFFFFF"/>
        </w:rPr>
        <w:t xml:space="preserve"> the impact of tax debt on financial security </w:t>
      </w:r>
      <w:r w:rsidR="001257D3" w:rsidRPr="00B732FD">
        <w:rPr>
          <w:rFonts w:ascii="Times New Roman" w:hAnsi="Times New Roman" w:cs="Times New Roman"/>
          <w:b/>
          <w:i/>
          <w:iCs/>
          <w:shd w:val="clear" w:color="auto" w:fill="FFFFFF"/>
          <w:lang w:val="en-US"/>
        </w:rPr>
        <w:t>by</w:t>
      </w:r>
      <w:r w:rsidR="001257D3" w:rsidRPr="00B732FD">
        <w:rPr>
          <w:rFonts w:ascii="Times New Roman" w:hAnsi="Times New Roman" w:cs="Times New Roman"/>
          <w:b/>
          <w:i/>
          <w:iCs/>
          <w:shd w:val="clear" w:color="auto" w:fill="FFFFFF"/>
        </w:rPr>
        <w:t xml:space="preserve"> two indicators: the tax load and the level of the shadow economy.</w:t>
      </w:r>
    </w:p>
    <w:p w:rsidR="005C7D57" w:rsidRPr="00B732FD" w:rsidRDefault="00CB0DDC" w:rsidP="00CB0DDC">
      <w:pPr>
        <w:spacing w:after="0" w:line="276" w:lineRule="auto"/>
        <w:ind w:firstLine="567"/>
        <w:jc w:val="both"/>
        <w:rPr>
          <w:rFonts w:ascii="Times New Roman" w:hAnsi="Times New Roman" w:cs="Times New Roman"/>
          <w:b/>
          <w:i/>
          <w:iCs/>
          <w:shd w:val="clear" w:color="auto" w:fill="FFFFFF"/>
        </w:rPr>
      </w:pPr>
      <w:r w:rsidRPr="00B732FD">
        <w:rPr>
          <w:rFonts w:ascii="Times New Roman" w:hAnsi="Times New Roman" w:cs="Times New Roman"/>
          <w:b/>
          <w:i/>
          <w:iCs/>
          <w:shd w:val="clear" w:color="auto" w:fill="FFFFFF"/>
        </w:rPr>
        <w:t>Key words: tax debt, financial security, method of estimating the tax debt, artificial neural network.</w:t>
      </w:r>
    </w:p>
    <w:p w:rsidR="00EF65C7" w:rsidRPr="003B6C3D" w:rsidRDefault="00EF65C7" w:rsidP="00CB0DDC">
      <w:pPr>
        <w:spacing w:after="0" w:line="276" w:lineRule="auto"/>
        <w:ind w:firstLine="567"/>
        <w:jc w:val="both"/>
        <w:rPr>
          <w:rFonts w:ascii="Times New Roman" w:hAnsi="Times New Roman" w:cs="Times New Roman"/>
          <w:b/>
          <w:iCs/>
          <w:shd w:val="clear" w:color="auto" w:fill="FFFFFF"/>
        </w:rPr>
      </w:pPr>
    </w:p>
    <w:p w:rsidR="00C565B6" w:rsidRPr="006E61E7" w:rsidRDefault="00C565B6" w:rsidP="00C565B6">
      <w:pPr>
        <w:shd w:val="clear" w:color="auto" w:fill="FFFFFF"/>
        <w:spacing w:after="0" w:line="264" w:lineRule="atLeast"/>
        <w:jc w:val="center"/>
        <w:rPr>
          <w:rFonts w:ascii="Times New Roman" w:eastAsia="Times New Roman" w:hAnsi="Times New Roman" w:cs="Times New Roman"/>
          <w:b/>
          <w:bCs/>
          <w:lang w:eastAsia="uk-UA"/>
        </w:rPr>
      </w:pPr>
      <w:r w:rsidRPr="00C565B6">
        <w:rPr>
          <w:rFonts w:ascii="Times New Roman" w:eastAsia="Times New Roman" w:hAnsi="Times New Roman" w:cs="Times New Roman"/>
          <w:b/>
          <w:bCs/>
          <w:lang w:eastAsia="uk-UA"/>
        </w:rPr>
        <w:t>Постановка проблеми</w:t>
      </w:r>
    </w:p>
    <w:p w:rsidR="00C565B6" w:rsidRPr="00C565B6" w:rsidRDefault="00C565B6" w:rsidP="003B6C3D">
      <w:pPr>
        <w:spacing w:after="0" w:line="276" w:lineRule="auto"/>
        <w:ind w:firstLine="567"/>
        <w:jc w:val="both"/>
        <w:rPr>
          <w:rFonts w:ascii="Times New Roman" w:hAnsi="Times New Roman" w:cs="Times New Roman"/>
        </w:rPr>
      </w:pPr>
      <w:r w:rsidRPr="00772DB0">
        <w:rPr>
          <w:rFonts w:ascii="Times New Roman" w:hAnsi="Times New Roman" w:cs="Times New Roman"/>
        </w:rPr>
        <w:t>Глобальні геополітичні та вітчизняні макроекономічні реалії гостро ставлять перед безпекознавчою наукою та практикою проблему перебудови базових підходів до принципів, форм, методів та інструментів забезпечення  фінансово-економічної безпеки шляхом їх орієнтації на формування системи довгосторокової діагностики кризових перетворень та швидкого реагування на них. Існуюча концепція оцінки економічної безпеки держави, що є законодавчо закріпленою та грунтується на нормативно-індикативному аналізі, носить характер констатації існуючих тенденцій на базі фактичних показників</w:t>
      </w:r>
      <w:r w:rsidR="00772DB0">
        <w:rPr>
          <w:rFonts w:ascii="Times New Roman" w:hAnsi="Times New Roman" w:cs="Times New Roman"/>
        </w:rPr>
        <w:t>. С</w:t>
      </w:r>
      <w:r w:rsidRPr="00772DB0">
        <w:rPr>
          <w:rFonts w:ascii="Times New Roman" w:hAnsi="Times New Roman" w:cs="Times New Roman"/>
        </w:rPr>
        <w:t xml:space="preserve">уттєвого доопрацювання, на наш погляд, потребують офіційні методики оцінювання рівня економічної безпеки, оскільки </w:t>
      </w:r>
      <w:r w:rsidRPr="00772DB0">
        <w:rPr>
          <w:rFonts w:ascii="Times New Roman" w:hAnsi="Times New Roman" w:cs="Times New Roman"/>
        </w:rPr>
        <w:lastRenderedPageBreak/>
        <w:t>вони є досить складними як з математичної, так і з логічної точок зору, що в цілому ускладнює механізм їх застосування.</w:t>
      </w:r>
    </w:p>
    <w:p w:rsidR="00C565B6" w:rsidRPr="00A7417F" w:rsidRDefault="00C565B6" w:rsidP="003B6C3D">
      <w:pPr>
        <w:shd w:val="clear" w:color="auto" w:fill="FFFFFF"/>
        <w:spacing w:after="0" w:line="276" w:lineRule="auto"/>
        <w:ind w:firstLine="567"/>
        <w:jc w:val="center"/>
        <w:rPr>
          <w:rFonts w:ascii="Times New Roman" w:eastAsia="Times New Roman" w:hAnsi="Times New Roman" w:cs="Times New Roman"/>
          <w:b/>
          <w:bCs/>
          <w:lang w:eastAsia="uk-UA"/>
        </w:rPr>
      </w:pPr>
      <w:r w:rsidRPr="00C565B6">
        <w:rPr>
          <w:rFonts w:ascii="Times New Roman" w:eastAsia="Times New Roman" w:hAnsi="Times New Roman" w:cs="Times New Roman"/>
          <w:b/>
          <w:bCs/>
          <w:lang w:eastAsia="uk-UA"/>
        </w:rPr>
        <w:t>Аналіз останніх досліджень і публікацій</w:t>
      </w:r>
    </w:p>
    <w:p w:rsidR="005C41B3" w:rsidRDefault="00C565B6" w:rsidP="009875D9">
      <w:pPr>
        <w:spacing w:after="0" w:line="276" w:lineRule="auto"/>
        <w:ind w:firstLine="567"/>
        <w:jc w:val="both"/>
        <w:rPr>
          <w:rFonts w:ascii="Times New Roman" w:hAnsi="Times New Roman" w:cs="Times New Roman"/>
        </w:rPr>
      </w:pPr>
      <w:r w:rsidRPr="004574FB">
        <w:rPr>
          <w:rFonts w:ascii="Times New Roman" w:hAnsi="Times New Roman" w:cs="Times New Roman"/>
        </w:rPr>
        <w:t xml:space="preserve">Дослідженню питання визначення рівня економічної (фінансової) безпеки </w:t>
      </w:r>
      <w:r w:rsidR="005C41B3">
        <w:rPr>
          <w:rFonts w:ascii="Times New Roman" w:hAnsi="Times New Roman" w:cs="Times New Roman"/>
        </w:rPr>
        <w:t>держави</w:t>
      </w:r>
      <w:r w:rsidRPr="004574FB">
        <w:rPr>
          <w:rFonts w:ascii="Times New Roman" w:hAnsi="Times New Roman" w:cs="Times New Roman"/>
        </w:rPr>
        <w:t xml:space="preserve">, його моніторингу та методів оцінки присвячені роботи цілого ряду вітчизняних </w:t>
      </w:r>
      <w:r w:rsidR="00A7417F">
        <w:rPr>
          <w:rFonts w:ascii="Times New Roman" w:hAnsi="Times New Roman" w:cs="Times New Roman"/>
        </w:rPr>
        <w:t>та закордонних дослідників, а саме</w:t>
      </w:r>
      <w:r w:rsidR="005C41B3">
        <w:rPr>
          <w:rFonts w:ascii="Times New Roman" w:hAnsi="Times New Roman" w:cs="Times New Roman"/>
        </w:rPr>
        <w:t xml:space="preserve"> Абалкін</w:t>
      </w:r>
      <w:r w:rsidR="00A7417F">
        <w:rPr>
          <w:rFonts w:ascii="Times New Roman" w:hAnsi="Times New Roman" w:cs="Times New Roman"/>
        </w:rPr>
        <w:t>а</w:t>
      </w:r>
      <w:r w:rsidR="005C41B3">
        <w:rPr>
          <w:rFonts w:ascii="Times New Roman" w:hAnsi="Times New Roman" w:cs="Times New Roman"/>
        </w:rPr>
        <w:t xml:space="preserve"> Л., </w:t>
      </w:r>
      <w:r w:rsidR="005C41B3" w:rsidRPr="004574FB">
        <w:rPr>
          <w:rFonts w:ascii="Times New Roman" w:hAnsi="Times New Roman" w:cs="Times New Roman"/>
        </w:rPr>
        <w:t>Бінько</w:t>
      </w:r>
      <w:r w:rsidR="005C41B3" w:rsidRPr="005C41B3">
        <w:rPr>
          <w:rFonts w:ascii="Times New Roman" w:hAnsi="Times New Roman" w:cs="Times New Roman"/>
        </w:rPr>
        <w:t xml:space="preserve"> </w:t>
      </w:r>
      <w:r w:rsidR="005C41B3" w:rsidRPr="004574FB">
        <w:rPr>
          <w:rFonts w:ascii="Times New Roman" w:hAnsi="Times New Roman" w:cs="Times New Roman"/>
        </w:rPr>
        <w:t>І.</w:t>
      </w:r>
      <w:r w:rsidR="00367822">
        <w:rPr>
          <w:rFonts w:ascii="Times New Roman" w:hAnsi="Times New Roman" w:cs="Times New Roman"/>
        </w:rPr>
        <w:t xml:space="preserve">, </w:t>
      </w:r>
      <w:r w:rsidR="005C41B3">
        <w:rPr>
          <w:rFonts w:ascii="Times New Roman" w:hAnsi="Times New Roman" w:cs="Times New Roman"/>
        </w:rPr>
        <w:t>Бухвальд Є.</w:t>
      </w:r>
      <w:r w:rsidR="005C41B3" w:rsidRPr="004574FB">
        <w:rPr>
          <w:rFonts w:ascii="Times New Roman" w:hAnsi="Times New Roman" w:cs="Times New Roman"/>
        </w:rPr>
        <w:t xml:space="preserve">, </w:t>
      </w:r>
      <w:r w:rsidR="00A7417F">
        <w:rPr>
          <w:rFonts w:ascii="Times New Roman" w:hAnsi="Times New Roman" w:cs="Times New Roman"/>
        </w:rPr>
        <w:t>Геєця</w:t>
      </w:r>
      <w:r w:rsidR="005C41B3" w:rsidRPr="005C41B3">
        <w:rPr>
          <w:rFonts w:ascii="Times New Roman" w:hAnsi="Times New Roman" w:cs="Times New Roman"/>
        </w:rPr>
        <w:t xml:space="preserve"> </w:t>
      </w:r>
      <w:r w:rsidR="005C41B3">
        <w:rPr>
          <w:rFonts w:ascii="Times New Roman" w:hAnsi="Times New Roman" w:cs="Times New Roman"/>
        </w:rPr>
        <w:t xml:space="preserve">В., </w:t>
      </w:r>
      <w:r w:rsidR="005C41B3" w:rsidRPr="004574FB">
        <w:rPr>
          <w:rFonts w:ascii="Times New Roman" w:hAnsi="Times New Roman" w:cs="Times New Roman"/>
        </w:rPr>
        <w:t>Гловац</w:t>
      </w:r>
      <w:r w:rsidR="00A7417F">
        <w:rPr>
          <w:rFonts w:ascii="Times New Roman" w:hAnsi="Times New Roman" w:cs="Times New Roman"/>
        </w:rPr>
        <w:t>ької</w:t>
      </w:r>
      <w:r w:rsidR="005C41B3">
        <w:rPr>
          <w:rFonts w:ascii="Times New Roman" w:hAnsi="Times New Roman" w:cs="Times New Roman"/>
        </w:rPr>
        <w:t xml:space="preserve"> Н., Кизим</w:t>
      </w:r>
      <w:r w:rsidR="005C41B3" w:rsidRPr="005C41B3">
        <w:rPr>
          <w:rFonts w:ascii="Times New Roman" w:hAnsi="Times New Roman" w:cs="Times New Roman"/>
        </w:rPr>
        <w:t xml:space="preserve"> </w:t>
      </w:r>
      <w:r w:rsidR="005C41B3">
        <w:rPr>
          <w:rFonts w:ascii="Times New Roman" w:hAnsi="Times New Roman" w:cs="Times New Roman"/>
        </w:rPr>
        <w:t xml:space="preserve">М., </w:t>
      </w:r>
      <w:r w:rsidR="00A7417F">
        <w:rPr>
          <w:rFonts w:ascii="Times New Roman" w:hAnsi="Times New Roman" w:cs="Times New Roman"/>
        </w:rPr>
        <w:t>Клебанової</w:t>
      </w:r>
      <w:r w:rsidR="005C41B3" w:rsidRPr="005C41B3">
        <w:rPr>
          <w:rFonts w:ascii="Times New Roman" w:hAnsi="Times New Roman" w:cs="Times New Roman"/>
        </w:rPr>
        <w:t xml:space="preserve"> </w:t>
      </w:r>
      <w:r w:rsidR="005C41B3">
        <w:rPr>
          <w:rFonts w:ascii="Times New Roman" w:hAnsi="Times New Roman" w:cs="Times New Roman"/>
        </w:rPr>
        <w:t xml:space="preserve">Т., Лазуренко С., </w:t>
      </w:r>
      <w:r w:rsidR="009875D9">
        <w:rPr>
          <w:rFonts w:ascii="Times New Roman" w:hAnsi="Times New Roman" w:cs="Times New Roman"/>
        </w:rPr>
        <w:t xml:space="preserve">Мартинюка В. П., </w:t>
      </w:r>
      <w:r w:rsidR="005C41B3">
        <w:rPr>
          <w:rFonts w:ascii="Times New Roman" w:hAnsi="Times New Roman" w:cs="Times New Roman"/>
        </w:rPr>
        <w:t>Черняк</w:t>
      </w:r>
      <w:r w:rsidR="005C41B3" w:rsidRPr="005C41B3">
        <w:rPr>
          <w:rFonts w:ascii="Times New Roman" w:hAnsi="Times New Roman" w:cs="Times New Roman"/>
        </w:rPr>
        <w:t xml:space="preserve"> </w:t>
      </w:r>
      <w:r w:rsidR="005C41B3">
        <w:rPr>
          <w:rFonts w:ascii="Times New Roman" w:hAnsi="Times New Roman" w:cs="Times New Roman"/>
        </w:rPr>
        <w:t xml:space="preserve">О., </w:t>
      </w:r>
      <w:r w:rsidR="005C41B3" w:rsidRPr="004574FB">
        <w:rPr>
          <w:rFonts w:ascii="Times New Roman" w:hAnsi="Times New Roman" w:cs="Times New Roman"/>
        </w:rPr>
        <w:t>Шлемко</w:t>
      </w:r>
      <w:r w:rsidR="005C41B3" w:rsidRPr="005C41B3">
        <w:rPr>
          <w:rFonts w:ascii="Times New Roman" w:hAnsi="Times New Roman" w:cs="Times New Roman"/>
        </w:rPr>
        <w:t xml:space="preserve"> </w:t>
      </w:r>
      <w:r w:rsidR="005C41B3" w:rsidRPr="004574FB">
        <w:rPr>
          <w:rFonts w:ascii="Times New Roman" w:hAnsi="Times New Roman" w:cs="Times New Roman"/>
        </w:rPr>
        <w:t>В.</w:t>
      </w:r>
    </w:p>
    <w:p w:rsidR="005C41B3" w:rsidRPr="00367822" w:rsidRDefault="001E065A" w:rsidP="00367822">
      <w:pPr>
        <w:spacing w:after="0" w:line="276" w:lineRule="auto"/>
        <w:ind w:firstLine="567"/>
        <w:jc w:val="both"/>
        <w:rPr>
          <w:rFonts w:ascii="Times New Roman" w:hAnsi="Times New Roman" w:cs="Times New Roman"/>
        </w:rPr>
      </w:pPr>
      <w:r w:rsidRPr="004574FB">
        <w:rPr>
          <w:rFonts w:ascii="Times New Roman" w:hAnsi="Times New Roman" w:cs="Times New Roman"/>
        </w:rPr>
        <w:t>Не применшуючи внеску фахівців, що займаються прогнозуванням рівня фінансово-економічної безпеки</w:t>
      </w:r>
      <w:r w:rsidR="005C41B3">
        <w:rPr>
          <w:rFonts w:ascii="Times New Roman" w:hAnsi="Times New Roman" w:cs="Times New Roman"/>
        </w:rPr>
        <w:t>, зокрема Баранніка</w:t>
      </w:r>
      <w:r w:rsidR="005C41B3" w:rsidRPr="005C41B3">
        <w:rPr>
          <w:rFonts w:ascii="Times New Roman" w:hAnsi="Times New Roman" w:cs="Times New Roman"/>
        </w:rPr>
        <w:t xml:space="preserve"> </w:t>
      </w:r>
      <w:r w:rsidR="005C41B3">
        <w:rPr>
          <w:rFonts w:ascii="Times New Roman" w:hAnsi="Times New Roman" w:cs="Times New Roman"/>
        </w:rPr>
        <w:t xml:space="preserve">В., </w:t>
      </w:r>
      <w:r w:rsidR="005C41B3">
        <w:rPr>
          <w:rFonts w:ascii="Times New Roman" w:hAnsi="Times New Roman" w:cs="Times New Roman"/>
          <w:color w:val="000000"/>
        </w:rPr>
        <w:t>Жаліла</w:t>
      </w:r>
      <w:r w:rsidR="005C41B3" w:rsidRPr="005C41B3">
        <w:rPr>
          <w:rFonts w:ascii="Times New Roman" w:hAnsi="Times New Roman" w:cs="Times New Roman"/>
          <w:color w:val="000000"/>
        </w:rPr>
        <w:t xml:space="preserve"> </w:t>
      </w:r>
      <w:r w:rsidR="005C41B3">
        <w:rPr>
          <w:rFonts w:ascii="Times New Roman" w:hAnsi="Times New Roman" w:cs="Times New Roman"/>
          <w:color w:val="000000"/>
        </w:rPr>
        <w:t>Я</w:t>
      </w:r>
      <w:r w:rsidR="005C41B3" w:rsidRPr="004574FB">
        <w:rPr>
          <w:rFonts w:ascii="Times New Roman" w:hAnsi="Times New Roman" w:cs="Times New Roman"/>
          <w:color w:val="000000"/>
        </w:rPr>
        <w:t>.</w:t>
      </w:r>
      <w:r w:rsidR="005C41B3">
        <w:rPr>
          <w:rFonts w:ascii="Times New Roman" w:hAnsi="Times New Roman" w:cs="Times New Roman"/>
          <w:color w:val="000000"/>
        </w:rPr>
        <w:t xml:space="preserve">, </w:t>
      </w:r>
      <w:r w:rsidR="005C41B3" w:rsidRPr="004574FB">
        <w:rPr>
          <w:rFonts w:ascii="Times New Roman" w:hAnsi="Times New Roman" w:cs="Times New Roman"/>
          <w:color w:val="000000"/>
        </w:rPr>
        <w:t>Іванов</w:t>
      </w:r>
      <w:r w:rsidR="00367822">
        <w:rPr>
          <w:rFonts w:ascii="Times New Roman" w:hAnsi="Times New Roman" w:cs="Times New Roman"/>
          <w:color w:val="000000"/>
        </w:rPr>
        <w:t>а</w:t>
      </w:r>
      <w:r w:rsidR="005C41B3" w:rsidRPr="005C41B3">
        <w:rPr>
          <w:rFonts w:ascii="Times New Roman" w:hAnsi="Times New Roman" w:cs="Times New Roman"/>
          <w:color w:val="000000"/>
        </w:rPr>
        <w:t xml:space="preserve"> </w:t>
      </w:r>
      <w:r w:rsidR="005C41B3" w:rsidRPr="004574FB">
        <w:rPr>
          <w:rFonts w:ascii="Times New Roman" w:hAnsi="Times New Roman" w:cs="Times New Roman"/>
          <w:color w:val="000000"/>
        </w:rPr>
        <w:t>О.</w:t>
      </w:r>
      <w:r w:rsidR="005C41B3">
        <w:rPr>
          <w:rFonts w:ascii="Times New Roman" w:hAnsi="Times New Roman" w:cs="Times New Roman"/>
          <w:color w:val="000000"/>
        </w:rPr>
        <w:t>,</w:t>
      </w:r>
      <w:r w:rsidR="00367822">
        <w:rPr>
          <w:rFonts w:ascii="Times New Roman" w:hAnsi="Times New Roman" w:cs="Times New Roman"/>
          <w:color w:val="000000"/>
        </w:rPr>
        <w:t xml:space="preserve"> </w:t>
      </w:r>
      <w:r w:rsidR="005C41B3" w:rsidRPr="004574FB">
        <w:rPr>
          <w:rFonts w:ascii="Times New Roman" w:hAnsi="Times New Roman" w:cs="Times New Roman"/>
          <w:color w:val="000000"/>
        </w:rPr>
        <w:t>Луцков</w:t>
      </w:r>
      <w:r w:rsidR="005C41B3">
        <w:rPr>
          <w:rFonts w:ascii="Times New Roman" w:hAnsi="Times New Roman" w:cs="Times New Roman"/>
          <w:color w:val="000000"/>
        </w:rPr>
        <w:t>а</w:t>
      </w:r>
      <w:r w:rsidR="005C41B3" w:rsidRPr="005C41B3">
        <w:rPr>
          <w:rFonts w:ascii="Times New Roman" w:hAnsi="Times New Roman" w:cs="Times New Roman"/>
          <w:color w:val="000000"/>
        </w:rPr>
        <w:t xml:space="preserve"> </w:t>
      </w:r>
      <w:r w:rsidR="005C41B3">
        <w:rPr>
          <w:rFonts w:ascii="Times New Roman" w:hAnsi="Times New Roman" w:cs="Times New Roman"/>
          <w:color w:val="000000"/>
        </w:rPr>
        <w:t>В.</w:t>
      </w:r>
      <w:r w:rsidR="005C41B3" w:rsidRPr="004574FB">
        <w:rPr>
          <w:rFonts w:ascii="Times New Roman" w:hAnsi="Times New Roman" w:cs="Times New Roman"/>
        </w:rPr>
        <w:t xml:space="preserve">, </w:t>
      </w:r>
      <w:r w:rsidR="005C41B3" w:rsidRPr="004574FB">
        <w:rPr>
          <w:rFonts w:ascii="Times New Roman" w:hAnsi="Times New Roman" w:cs="Times New Roman"/>
          <w:color w:val="000000"/>
        </w:rPr>
        <w:t xml:space="preserve"> Махортих</w:t>
      </w:r>
      <w:r w:rsidR="005C41B3" w:rsidRPr="005C41B3">
        <w:rPr>
          <w:rFonts w:ascii="Times New Roman" w:hAnsi="Times New Roman" w:cs="Times New Roman"/>
          <w:color w:val="000000"/>
        </w:rPr>
        <w:t xml:space="preserve"> </w:t>
      </w:r>
      <w:r w:rsidR="005C41B3" w:rsidRPr="004574FB">
        <w:rPr>
          <w:rFonts w:ascii="Times New Roman" w:hAnsi="Times New Roman" w:cs="Times New Roman"/>
          <w:color w:val="000000"/>
        </w:rPr>
        <w:t>Д.,</w:t>
      </w:r>
    </w:p>
    <w:p w:rsidR="00A7417F" w:rsidRDefault="005C41B3" w:rsidP="00A7417F">
      <w:pPr>
        <w:spacing w:after="0" w:line="276" w:lineRule="auto"/>
        <w:jc w:val="both"/>
        <w:rPr>
          <w:rFonts w:ascii="Times New Roman" w:hAnsi="Times New Roman" w:cs="Times New Roman"/>
          <w:color w:val="000000"/>
        </w:rPr>
      </w:pPr>
      <w:r w:rsidRPr="004574FB">
        <w:rPr>
          <w:rFonts w:ascii="Times New Roman" w:hAnsi="Times New Roman" w:cs="Times New Roman"/>
          <w:color w:val="000000"/>
        </w:rPr>
        <w:t>Покришка</w:t>
      </w:r>
      <w:r w:rsidRPr="005C41B3">
        <w:rPr>
          <w:rFonts w:ascii="Times New Roman" w:hAnsi="Times New Roman" w:cs="Times New Roman"/>
          <w:color w:val="000000"/>
        </w:rPr>
        <w:t xml:space="preserve"> </w:t>
      </w:r>
      <w:r w:rsidRPr="004574FB">
        <w:rPr>
          <w:rFonts w:ascii="Times New Roman" w:hAnsi="Times New Roman" w:cs="Times New Roman"/>
          <w:color w:val="000000"/>
        </w:rPr>
        <w:t>Д.,Сардак С.</w:t>
      </w:r>
      <w:r>
        <w:rPr>
          <w:rFonts w:ascii="Times New Roman" w:hAnsi="Times New Roman" w:cs="Times New Roman"/>
          <w:color w:val="000000"/>
        </w:rPr>
        <w:t>,</w:t>
      </w:r>
      <w:r w:rsidRPr="004574FB">
        <w:rPr>
          <w:rFonts w:ascii="Times New Roman" w:hAnsi="Times New Roman" w:cs="Times New Roman"/>
          <w:color w:val="000000"/>
        </w:rPr>
        <w:t xml:space="preserve"> Тищук Т.</w:t>
      </w:r>
      <w:r w:rsidR="00367822">
        <w:rPr>
          <w:rFonts w:ascii="Times New Roman" w:hAnsi="Times New Roman" w:cs="Times New Roman"/>
          <w:color w:val="000000"/>
        </w:rPr>
        <w:t xml:space="preserve">, </w:t>
      </w:r>
      <w:r w:rsidR="001E065A" w:rsidRPr="004574FB">
        <w:rPr>
          <w:rFonts w:ascii="Times New Roman" w:hAnsi="Times New Roman" w:cs="Times New Roman"/>
        </w:rPr>
        <w:t>зазначимо, що нині не існує системи, яка здатна була б сигналізувати про прихід кризових явищ як щодо фінансової безпеки держави, так і в розрізі її складових.</w:t>
      </w:r>
    </w:p>
    <w:p w:rsidR="00C565B6" w:rsidRPr="00A7417F" w:rsidRDefault="009836B3" w:rsidP="00A7417F">
      <w:pPr>
        <w:spacing w:after="0" w:line="276" w:lineRule="auto"/>
        <w:ind w:firstLine="567"/>
        <w:jc w:val="both"/>
        <w:rPr>
          <w:rFonts w:ascii="Times New Roman" w:hAnsi="Times New Roman" w:cs="Times New Roman"/>
          <w:color w:val="000000"/>
        </w:rPr>
      </w:pPr>
      <w:r>
        <w:rPr>
          <w:rFonts w:ascii="Times New Roman" w:hAnsi="Times New Roman" w:cs="Times New Roman"/>
        </w:rPr>
        <w:t>У працях українських та зарубіжних науковців, таких я</w:t>
      </w:r>
      <w:r w:rsidR="00A7417F">
        <w:rPr>
          <w:rFonts w:ascii="Times New Roman" w:hAnsi="Times New Roman" w:cs="Times New Roman"/>
        </w:rPr>
        <w:t>к Горбань А., Дунин-Барковський </w:t>
      </w:r>
      <w:r>
        <w:rPr>
          <w:rFonts w:ascii="Times New Roman" w:hAnsi="Times New Roman" w:cs="Times New Roman"/>
        </w:rPr>
        <w:t>А., Кирдин В., Яблоков І., Головко В. окреслені основні властивості, переваги та недоліки штучних нейронних мереж, однак д</w:t>
      </w:r>
      <w:r w:rsidR="00F642EE" w:rsidRPr="004574FB">
        <w:rPr>
          <w:rFonts w:ascii="Times New Roman" w:hAnsi="Times New Roman" w:cs="Times New Roman"/>
        </w:rPr>
        <w:t xml:space="preserve">ослідженню особливостей штучних нейронних </w:t>
      </w:r>
      <w:r w:rsidR="0009159E">
        <w:rPr>
          <w:rFonts w:ascii="Times New Roman" w:hAnsi="Times New Roman" w:cs="Times New Roman"/>
        </w:rPr>
        <w:t>з радіально-баз</w:t>
      </w:r>
      <w:r>
        <w:rPr>
          <w:rFonts w:ascii="Times New Roman" w:hAnsi="Times New Roman" w:cs="Times New Roman"/>
        </w:rPr>
        <w:t xml:space="preserve">исними функціями </w:t>
      </w:r>
      <w:r w:rsidR="0009159E">
        <w:rPr>
          <w:rFonts w:ascii="Times New Roman" w:hAnsi="Times New Roman" w:cs="Times New Roman"/>
        </w:rPr>
        <w:t>(ШНМ з РБФ)</w:t>
      </w:r>
      <w:r w:rsidR="00F642EE" w:rsidRPr="004574FB">
        <w:rPr>
          <w:rFonts w:ascii="Times New Roman" w:hAnsi="Times New Roman" w:cs="Times New Roman"/>
        </w:rPr>
        <w:t xml:space="preserve"> </w:t>
      </w:r>
      <w:r>
        <w:rPr>
          <w:rFonts w:ascii="Times New Roman" w:hAnsi="Times New Roman" w:cs="Times New Roman"/>
        </w:rPr>
        <w:t>присвячено невелику кількість праць, зокрема</w:t>
      </w:r>
      <w:r w:rsidR="00F642EE" w:rsidRPr="004574FB">
        <w:rPr>
          <w:rFonts w:ascii="Times New Roman" w:hAnsi="Times New Roman" w:cs="Times New Roman"/>
        </w:rPr>
        <w:t xml:space="preserve"> </w:t>
      </w:r>
      <w:r>
        <w:rPr>
          <w:rFonts w:ascii="Times New Roman" w:hAnsi="Times New Roman" w:cs="Times New Roman"/>
        </w:rPr>
        <w:t>Бодянського Є., Руденка О.</w:t>
      </w:r>
      <w:r w:rsidR="0009159E">
        <w:rPr>
          <w:rFonts w:ascii="Times New Roman" w:hAnsi="Times New Roman" w:cs="Times New Roman"/>
        </w:rPr>
        <w:t xml:space="preserve"> ШНМ з РБФ вперше використані </w:t>
      </w:r>
      <w:r w:rsidR="00636A56">
        <w:rPr>
          <w:rFonts w:ascii="Times New Roman" w:hAnsi="Times New Roman" w:cs="Times New Roman"/>
        </w:rPr>
        <w:t>для</w:t>
      </w:r>
      <w:r w:rsidR="0009159E">
        <w:rPr>
          <w:rFonts w:ascii="Times New Roman" w:hAnsi="Times New Roman" w:cs="Times New Roman"/>
        </w:rPr>
        <w:t xml:space="preserve"> моделювання </w:t>
      </w:r>
      <w:r w:rsidR="00636A56">
        <w:rPr>
          <w:rFonts w:ascii="Times New Roman" w:hAnsi="Times New Roman" w:cs="Times New Roman"/>
        </w:rPr>
        <w:t xml:space="preserve">явищ </w:t>
      </w:r>
      <w:r w:rsidR="0009159E">
        <w:rPr>
          <w:rFonts w:ascii="Times New Roman" w:hAnsi="Times New Roman" w:cs="Times New Roman"/>
        </w:rPr>
        <w:t>у контексті забезпечення фінансової безпеки держави у працях Мартинюка В.П.</w:t>
      </w:r>
    </w:p>
    <w:p w:rsidR="00C565B6" w:rsidRPr="00A7417F" w:rsidRDefault="00C565B6" w:rsidP="00367822">
      <w:pPr>
        <w:shd w:val="clear" w:color="auto" w:fill="FFFFFF"/>
        <w:spacing w:after="0" w:line="276" w:lineRule="auto"/>
        <w:ind w:firstLine="567"/>
        <w:jc w:val="center"/>
        <w:rPr>
          <w:rFonts w:ascii="Times New Roman" w:eastAsia="Times New Roman" w:hAnsi="Times New Roman" w:cs="Times New Roman"/>
          <w:b/>
          <w:bCs/>
          <w:lang w:eastAsia="uk-UA"/>
        </w:rPr>
      </w:pPr>
      <w:r w:rsidRPr="00C565B6">
        <w:rPr>
          <w:rFonts w:ascii="Times New Roman" w:eastAsia="Times New Roman" w:hAnsi="Times New Roman" w:cs="Times New Roman"/>
          <w:b/>
          <w:bCs/>
          <w:lang w:eastAsia="uk-UA"/>
        </w:rPr>
        <w:t>Постановка цілей</w:t>
      </w:r>
    </w:p>
    <w:p w:rsidR="00C565B6" w:rsidRPr="00C565B6" w:rsidRDefault="00772DB0" w:rsidP="00C176FD">
      <w:pPr>
        <w:pStyle w:val="NoSpacing"/>
        <w:spacing w:line="276" w:lineRule="auto"/>
        <w:ind w:firstLine="567"/>
        <w:jc w:val="both"/>
        <w:rPr>
          <w:rFonts w:ascii="Times New Roman" w:hAnsi="Times New Roman"/>
          <w:color w:val="000000"/>
        </w:rPr>
      </w:pPr>
      <w:r w:rsidRPr="004574FB">
        <w:rPr>
          <w:rFonts w:ascii="Times New Roman" w:hAnsi="Times New Roman"/>
        </w:rPr>
        <w:t xml:space="preserve">Незважаючи на значну кількість напрацювань щодо оцінювання рівня економічної безпеки, відсутнє єдине системне уявлення інтегрального показника та обґрунтування критеріїв відбору відповідних індикаторів і встановлення їх нормативних (порогових) значень. Суттєвим недоліком в існуючих методиках </w:t>
      </w:r>
      <w:r w:rsidR="00C176FD">
        <w:rPr>
          <w:rFonts w:ascii="Times New Roman" w:hAnsi="Times New Roman"/>
        </w:rPr>
        <w:t>є відсутність деяких складових, т</w:t>
      </w:r>
      <w:r w:rsidRPr="004574FB">
        <w:rPr>
          <w:rFonts w:ascii="Times New Roman" w:hAnsi="Times New Roman"/>
        </w:rPr>
        <w:t>ак, наприклад, при оцінюванні рівня фінансової безпеки держави не враховано такі важливі компонен</w:t>
      </w:r>
      <w:r w:rsidR="00C176FD">
        <w:rPr>
          <w:rFonts w:ascii="Times New Roman" w:hAnsi="Times New Roman"/>
        </w:rPr>
        <w:t>ти як</w:t>
      </w:r>
      <w:r w:rsidRPr="004574FB">
        <w:rPr>
          <w:rFonts w:ascii="Times New Roman" w:hAnsi="Times New Roman"/>
        </w:rPr>
        <w:t xml:space="preserve"> вплив системи оподаткування; показники, які характеризують рівень розвитку страхового, фондового, фінансового ринків</w:t>
      </w:r>
      <w:r w:rsidR="00C176FD">
        <w:rPr>
          <w:rFonts w:ascii="Times New Roman" w:hAnsi="Times New Roman"/>
        </w:rPr>
        <w:t xml:space="preserve"> тощо</w:t>
      </w:r>
      <w:r w:rsidRPr="004574FB">
        <w:rPr>
          <w:rFonts w:ascii="Times New Roman" w:hAnsi="Times New Roman"/>
        </w:rPr>
        <w:t xml:space="preserve">. </w:t>
      </w:r>
      <w:r w:rsidR="001E065A" w:rsidRPr="004574FB">
        <w:rPr>
          <w:rFonts w:ascii="Times New Roman" w:hAnsi="Times New Roman"/>
          <w:color w:val="000000"/>
        </w:rPr>
        <w:t xml:space="preserve">Зважаючи на </w:t>
      </w:r>
      <w:r w:rsidR="00C176FD">
        <w:rPr>
          <w:rFonts w:ascii="Times New Roman" w:hAnsi="Times New Roman"/>
          <w:color w:val="000000"/>
        </w:rPr>
        <w:t>це,</w:t>
      </w:r>
      <w:r w:rsidR="001E065A" w:rsidRPr="004574FB">
        <w:rPr>
          <w:rFonts w:ascii="Times New Roman" w:hAnsi="Times New Roman"/>
          <w:color w:val="000000"/>
        </w:rPr>
        <w:t xml:space="preserve"> висловлюємо необхідність вироблення нових, більш прогресивних методів, способів та інструментарію діагностики стану фінансової безпеки на макрорівні, зокрема за податково-борговою складовою, що зумовлено метою нашого дослідження. </w:t>
      </w:r>
    </w:p>
    <w:p w:rsidR="00C565B6" w:rsidRPr="00C565B6" w:rsidRDefault="00C565B6" w:rsidP="00C176FD">
      <w:pPr>
        <w:shd w:val="clear" w:color="auto" w:fill="FFFFFF"/>
        <w:spacing w:after="0" w:line="276" w:lineRule="auto"/>
        <w:ind w:firstLine="567"/>
        <w:jc w:val="center"/>
        <w:rPr>
          <w:rFonts w:ascii="Times New Roman" w:eastAsia="Times New Roman" w:hAnsi="Times New Roman" w:cs="Times New Roman"/>
          <w:lang w:eastAsia="uk-UA"/>
        </w:rPr>
      </w:pPr>
      <w:r w:rsidRPr="00C565B6">
        <w:rPr>
          <w:rFonts w:ascii="Times New Roman" w:eastAsia="Times New Roman" w:hAnsi="Times New Roman" w:cs="Times New Roman"/>
          <w:b/>
          <w:bCs/>
          <w:lang w:eastAsia="uk-UA"/>
        </w:rPr>
        <w:t>Виклад основного матеріалу</w:t>
      </w:r>
    </w:p>
    <w:p w:rsidR="002E69C9" w:rsidRPr="004574FB" w:rsidRDefault="00C176FD" w:rsidP="004574FB">
      <w:pPr>
        <w:spacing w:after="0" w:line="276" w:lineRule="auto"/>
        <w:ind w:firstLine="567"/>
        <w:jc w:val="both"/>
        <w:rPr>
          <w:rFonts w:ascii="Times New Roman" w:hAnsi="Times New Roman" w:cs="Times New Roman"/>
        </w:rPr>
      </w:pPr>
      <w:r>
        <w:rPr>
          <w:rFonts w:ascii="Times New Roman" w:hAnsi="Times New Roman" w:cs="Times New Roman"/>
        </w:rPr>
        <w:t>С</w:t>
      </w:r>
      <w:r w:rsidR="002E69C9" w:rsidRPr="004574FB">
        <w:rPr>
          <w:rFonts w:ascii="Times New Roman" w:hAnsi="Times New Roman" w:cs="Times New Roman"/>
        </w:rPr>
        <w:t xml:space="preserve">еред основних </w:t>
      </w:r>
      <w:r>
        <w:rPr>
          <w:rFonts w:ascii="Times New Roman" w:hAnsi="Times New Roman" w:cs="Times New Roman"/>
        </w:rPr>
        <w:t xml:space="preserve">сучасних </w:t>
      </w:r>
      <w:r w:rsidR="002E69C9" w:rsidRPr="004574FB">
        <w:rPr>
          <w:rFonts w:ascii="Times New Roman" w:hAnsi="Times New Roman" w:cs="Times New Roman"/>
        </w:rPr>
        <w:t xml:space="preserve">методів оцінки рівня економічної </w:t>
      </w:r>
      <w:r>
        <w:rPr>
          <w:rFonts w:ascii="Times New Roman" w:hAnsi="Times New Roman" w:cs="Times New Roman"/>
        </w:rPr>
        <w:t xml:space="preserve">(фінансової) </w:t>
      </w:r>
      <w:r w:rsidR="002E69C9" w:rsidRPr="004574FB">
        <w:rPr>
          <w:rFonts w:ascii="Times New Roman" w:hAnsi="Times New Roman" w:cs="Times New Roman"/>
        </w:rPr>
        <w:t xml:space="preserve">безпеки </w:t>
      </w:r>
      <w:r>
        <w:rPr>
          <w:rFonts w:ascii="Times New Roman" w:hAnsi="Times New Roman" w:cs="Times New Roman"/>
        </w:rPr>
        <w:t>держави виділяють</w:t>
      </w:r>
      <w:r w:rsidR="002E69C9" w:rsidRPr="004574FB">
        <w:rPr>
          <w:rFonts w:ascii="Times New Roman" w:hAnsi="Times New Roman" w:cs="Times New Roman"/>
        </w:rPr>
        <w:t>:</w:t>
      </w:r>
    </w:p>
    <w:p w:rsidR="002E69C9" w:rsidRPr="004574FB" w:rsidRDefault="002E69C9" w:rsidP="004574FB">
      <w:pPr>
        <w:pStyle w:val="ListParagraph"/>
        <w:numPr>
          <w:ilvl w:val="0"/>
          <w:numId w:val="2"/>
        </w:numPr>
        <w:spacing w:after="0"/>
        <w:ind w:left="0" w:firstLine="567"/>
        <w:jc w:val="both"/>
        <w:rPr>
          <w:rFonts w:ascii="Times New Roman" w:hAnsi="Times New Roman" w:cs="Times New Roman"/>
          <w:lang w:val="uk-UA"/>
        </w:rPr>
      </w:pPr>
      <w:r w:rsidRPr="004574FB">
        <w:rPr>
          <w:rFonts w:ascii="Times New Roman" w:hAnsi="Times New Roman" w:cs="Times New Roman"/>
          <w:lang w:val="uk-UA"/>
        </w:rPr>
        <w:t>моніторинг основних соціально-економічних показників і зіставлення їх з граничними значеннями, які мають бути не менші</w:t>
      </w:r>
      <w:r w:rsidR="00C176FD">
        <w:rPr>
          <w:rFonts w:ascii="Times New Roman" w:hAnsi="Times New Roman" w:cs="Times New Roman"/>
          <w:lang w:val="uk-UA"/>
        </w:rPr>
        <w:t>/більші ніж встановлений рівень</w:t>
      </w:r>
      <w:r w:rsidRPr="004574FB">
        <w:rPr>
          <w:rFonts w:ascii="Times New Roman" w:hAnsi="Times New Roman" w:cs="Times New Roman"/>
          <w:lang w:val="uk-UA"/>
        </w:rPr>
        <w:t>;</w:t>
      </w:r>
    </w:p>
    <w:p w:rsidR="002E69C9" w:rsidRPr="004574FB" w:rsidRDefault="002E69C9" w:rsidP="004574FB">
      <w:pPr>
        <w:pStyle w:val="ListParagraph"/>
        <w:numPr>
          <w:ilvl w:val="0"/>
          <w:numId w:val="2"/>
        </w:numPr>
        <w:spacing w:after="0"/>
        <w:ind w:left="0" w:firstLine="567"/>
        <w:jc w:val="both"/>
        <w:rPr>
          <w:rFonts w:ascii="Times New Roman" w:hAnsi="Times New Roman" w:cs="Times New Roman"/>
          <w:lang w:val="uk-UA"/>
        </w:rPr>
      </w:pPr>
      <w:r w:rsidRPr="004574FB">
        <w:rPr>
          <w:rFonts w:ascii="Times New Roman" w:hAnsi="Times New Roman" w:cs="Times New Roman"/>
          <w:lang w:val="uk-UA"/>
        </w:rPr>
        <w:t>методи експертної оцінки, що в ос</w:t>
      </w:r>
      <w:r w:rsidR="00C176FD">
        <w:rPr>
          <w:rFonts w:ascii="Times New Roman" w:hAnsi="Times New Roman" w:cs="Times New Roman"/>
          <w:lang w:val="uk-UA"/>
        </w:rPr>
        <w:t>новному передбачають ранжування обʼєктів</w:t>
      </w:r>
      <w:r w:rsidRPr="004574FB">
        <w:rPr>
          <w:rFonts w:ascii="Times New Roman" w:hAnsi="Times New Roman" w:cs="Times New Roman"/>
          <w:lang w:val="uk-UA"/>
        </w:rPr>
        <w:t xml:space="preserve"> за визначеним набором показників;</w:t>
      </w:r>
    </w:p>
    <w:p w:rsidR="002E69C9" w:rsidRPr="004574FB" w:rsidRDefault="002E69C9" w:rsidP="004574FB">
      <w:pPr>
        <w:pStyle w:val="ListParagraph"/>
        <w:numPr>
          <w:ilvl w:val="0"/>
          <w:numId w:val="2"/>
        </w:numPr>
        <w:spacing w:after="0"/>
        <w:ind w:left="0" w:firstLine="567"/>
        <w:jc w:val="both"/>
        <w:rPr>
          <w:rFonts w:ascii="Times New Roman" w:hAnsi="Times New Roman" w:cs="Times New Roman"/>
          <w:lang w:val="uk-UA"/>
        </w:rPr>
      </w:pPr>
      <w:r w:rsidRPr="004574FB">
        <w:rPr>
          <w:rFonts w:ascii="Times New Roman" w:hAnsi="Times New Roman" w:cs="Times New Roman"/>
          <w:lang w:val="uk-UA"/>
        </w:rPr>
        <w:t>сценарний підхід, який за допомогою засобів математичного моделювання дозволяє уточнювати і конкретизувати початкові прогнози та створювати нові варіанти сценаріїв у рамках передбачуваної моделі;</w:t>
      </w:r>
    </w:p>
    <w:p w:rsidR="002E69C9" w:rsidRPr="004574FB" w:rsidRDefault="002E69C9" w:rsidP="004574FB">
      <w:pPr>
        <w:pStyle w:val="ListParagraph"/>
        <w:numPr>
          <w:ilvl w:val="0"/>
          <w:numId w:val="2"/>
        </w:numPr>
        <w:spacing w:after="0"/>
        <w:ind w:left="0" w:firstLine="567"/>
        <w:jc w:val="both"/>
        <w:rPr>
          <w:rFonts w:ascii="Times New Roman" w:hAnsi="Times New Roman" w:cs="Times New Roman"/>
          <w:lang w:val="uk-UA"/>
        </w:rPr>
      </w:pPr>
      <w:r w:rsidRPr="004574FB">
        <w:rPr>
          <w:rFonts w:ascii="Times New Roman" w:hAnsi="Times New Roman" w:cs="Times New Roman"/>
          <w:lang w:val="uk-UA"/>
        </w:rPr>
        <w:t>методи оптимізації, що передбачають побудову алгоритмів знаходження максимумів (мінімумів) функції і точок, в яких вони досягаються, при наявності обмежень та без них;</w:t>
      </w:r>
    </w:p>
    <w:p w:rsidR="002E69C9" w:rsidRPr="004574FB" w:rsidRDefault="002E69C9" w:rsidP="004574FB">
      <w:pPr>
        <w:pStyle w:val="ListParagraph"/>
        <w:numPr>
          <w:ilvl w:val="0"/>
          <w:numId w:val="2"/>
        </w:numPr>
        <w:spacing w:after="0"/>
        <w:ind w:left="0" w:firstLine="567"/>
        <w:jc w:val="both"/>
        <w:rPr>
          <w:rFonts w:ascii="Times New Roman" w:hAnsi="Times New Roman" w:cs="Times New Roman"/>
          <w:lang w:val="uk-UA"/>
        </w:rPr>
      </w:pPr>
      <w:r w:rsidRPr="004574FB">
        <w:rPr>
          <w:rFonts w:ascii="Times New Roman" w:hAnsi="Times New Roman" w:cs="Times New Roman"/>
          <w:lang w:val="uk-UA"/>
        </w:rPr>
        <w:t>теоретико-ігрові методи, які використовуються для аналізу багатосторонніх конфліктних ситуацій з урахуванням їх взаємовпливу;</w:t>
      </w:r>
    </w:p>
    <w:p w:rsidR="002E69C9" w:rsidRPr="004574FB" w:rsidRDefault="002E69C9" w:rsidP="004574FB">
      <w:pPr>
        <w:pStyle w:val="ListParagraph"/>
        <w:numPr>
          <w:ilvl w:val="0"/>
          <w:numId w:val="2"/>
        </w:numPr>
        <w:spacing w:after="0"/>
        <w:ind w:left="0" w:firstLine="567"/>
        <w:jc w:val="both"/>
        <w:rPr>
          <w:rFonts w:ascii="Times New Roman" w:hAnsi="Times New Roman" w:cs="Times New Roman"/>
          <w:lang w:val="uk-UA"/>
        </w:rPr>
      </w:pPr>
      <w:r w:rsidRPr="004574FB">
        <w:rPr>
          <w:rFonts w:ascii="Times New Roman" w:hAnsi="Times New Roman" w:cs="Times New Roman"/>
          <w:lang w:val="uk-UA"/>
        </w:rPr>
        <w:t>методи багатовимірного статистичного аналізу, що дозволяють обчислювати характеристики динаміки розвитку показників економічної безпеки, виявляти закономірності минулого розвитку та оцінювати їх перенесення на майбутнє;</w:t>
      </w:r>
    </w:p>
    <w:p w:rsidR="002E69C9" w:rsidRPr="004574FB" w:rsidRDefault="002E69C9" w:rsidP="004574FB">
      <w:pPr>
        <w:pStyle w:val="ListParagraph"/>
        <w:numPr>
          <w:ilvl w:val="0"/>
          <w:numId w:val="2"/>
        </w:numPr>
        <w:spacing w:after="0"/>
        <w:ind w:left="0" w:firstLine="567"/>
        <w:jc w:val="both"/>
        <w:rPr>
          <w:rFonts w:ascii="Times New Roman" w:hAnsi="Times New Roman" w:cs="Times New Roman"/>
          <w:lang w:val="uk-UA"/>
        </w:rPr>
      </w:pPr>
      <w:r w:rsidRPr="004574FB">
        <w:rPr>
          <w:rFonts w:ascii="Times New Roman" w:hAnsi="Times New Roman" w:cs="Times New Roman"/>
          <w:lang w:val="uk-UA"/>
        </w:rPr>
        <w:lastRenderedPageBreak/>
        <w:t>квазідинамічний підхід</w:t>
      </w:r>
      <w:r w:rsidR="00DC536E">
        <w:rPr>
          <w:rFonts w:ascii="Times New Roman" w:hAnsi="Times New Roman" w:cs="Times New Roman"/>
          <w:lang w:val="uk-UA"/>
        </w:rPr>
        <w:t>, що</w:t>
      </w:r>
      <w:r w:rsidRPr="004574FB">
        <w:rPr>
          <w:rFonts w:ascii="Times New Roman" w:hAnsi="Times New Roman" w:cs="Times New Roman"/>
          <w:lang w:val="uk-UA"/>
        </w:rPr>
        <w:t xml:space="preserve"> </w:t>
      </w:r>
      <w:r w:rsidR="00DC536E">
        <w:rPr>
          <w:rFonts w:ascii="Times New Roman" w:hAnsi="Times New Roman" w:cs="Times New Roman"/>
          <w:lang w:val="uk-UA"/>
        </w:rPr>
        <w:t xml:space="preserve">визначає </w:t>
      </w:r>
      <w:r w:rsidRPr="004574FB">
        <w:rPr>
          <w:rFonts w:ascii="Times New Roman" w:hAnsi="Times New Roman" w:cs="Times New Roman"/>
          <w:lang w:val="uk-UA"/>
        </w:rPr>
        <w:t xml:space="preserve"> цільову функцію забезпечення безпеки, а сам метод полягає в розділі основних складових безпеки на кількісні показники (потенціал визначеної сфери безпеки) та якісні (стан захисту певного національного інтересу) показники (індикатори). </w:t>
      </w:r>
    </w:p>
    <w:p w:rsidR="002E69C9" w:rsidRPr="004574FB" w:rsidRDefault="002E69C9" w:rsidP="004574FB">
      <w:pPr>
        <w:spacing w:after="0" w:line="276" w:lineRule="auto"/>
        <w:ind w:firstLine="567"/>
        <w:jc w:val="both"/>
        <w:rPr>
          <w:rFonts w:ascii="Times New Roman" w:hAnsi="Times New Roman" w:cs="Times New Roman"/>
          <w:color w:val="000000"/>
        </w:rPr>
      </w:pPr>
      <w:r w:rsidRPr="004574FB">
        <w:rPr>
          <w:rFonts w:ascii="Times New Roman" w:hAnsi="Times New Roman" w:cs="Times New Roman"/>
        </w:rPr>
        <w:t>Математичні методи, зокрема, метод кореляційно-регресійного аналізу, що класично використовується в основі прогнозування для встановлення взаємозв’язку між результативним показником і декількома факторними показниками не є ефективним, о</w:t>
      </w:r>
      <w:r w:rsidRPr="004574FB">
        <w:rPr>
          <w:rFonts w:ascii="Times New Roman" w:hAnsi="Times New Roman" w:cs="Times New Roman"/>
          <w:color w:val="000000"/>
        </w:rPr>
        <w:t>скільки політична та економічна ситуація в Україні є нестабільною, а звʼязок між явищами і процесами у середині безпекового простору часто є нелінійним. На жаль, на відміну від технічних систем, в соціально-економічних системах межі можливого перетину інтересів мають значні коливання, а значить є велика невизначеність (рівень перетину різних сфер) щодо прогнозування</w:t>
      </w:r>
      <w:r w:rsidR="00E662B2" w:rsidRPr="004574FB">
        <w:rPr>
          <w:rFonts w:ascii="Times New Roman" w:hAnsi="Times New Roman" w:cs="Times New Roman"/>
          <w:color w:val="000000"/>
        </w:rPr>
        <w:t>.</w:t>
      </w:r>
    </w:p>
    <w:p w:rsidR="00E662B2" w:rsidRPr="00A42331" w:rsidRDefault="00E662B2" w:rsidP="00A42331">
      <w:pPr>
        <w:spacing w:after="0" w:line="276" w:lineRule="auto"/>
        <w:ind w:firstLine="567"/>
        <w:jc w:val="both"/>
        <w:rPr>
          <w:rFonts w:ascii="Times New Roman" w:hAnsi="Times New Roman" w:cs="Times New Roman"/>
        </w:rPr>
      </w:pPr>
      <w:r w:rsidRPr="004574FB">
        <w:rPr>
          <w:rFonts w:ascii="Times New Roman" w:hAnsi="Times New Roman" w:cs="Times New Roman"/>
        </w:rPr>
        <w:t>Для досягнення мети</w:t>
      </w:r>
      <w:r w:rsidR="00DC536E">
        <w:rPr>
          <w:rFonts w:ascii="Times New Roman" w:hAnsi="Times New Roman" w:cs="Times New Roman"/>
        </w:rPr>
        <w:t xml:space="preserve"> дослідження</w:t>
      </w:r>
      <w:r w:rsidRPr="004574FB">
        <w:rPr>
          <w:rFonts w:ascii="Times New Roman" w:hAnsi="Times New Roman" w:cs="Times New Roman"/>
        </w:rPr>
        <w:t xml:space="preserve">, а саме, формування  </w:t>
      </w:r>
      <w:r w:rsidR="00DC536E">
        <w:rPr>
          <w:rFonts w:ascii="Times New Roman" w:hAnsi="Times New Roman" w:cs="Times New Roman"/>
        </w:rPr>
        <w:t>концепції</w:t>
      </w:r>
      <w:r w:rsidRPr="004574FB">
        <w:rPr>
          <w:rFonts w:ascii="Times New Roman" w:hAnsi="Times New Roman" w:cs="Times New Roman"/>
        </w:rPr>
        <w:t xml:space="preserve"> податкового боргу</w:t>
      </w:r>
      <w:r w:rsidR="00DC536E">
        <w:rPr>
          <w:rFonts w:ascii="Times New Roman" w:hAnsi="Times New Roman" w:cs="Times New Roman"/>
        </w:rPr>
        <w:t xml:space="preserve"> як чинника фінансово</w:t>
      </w:r>
      <w:r w:rsidRPr="004574FB">
        <w:rPr>
          <w:rFonts w:ascii="Times New Roman" w:hAnsi="Times New Roman" w:cs="Times New Roman"/>
        </w:rPr>
        <w:t>ї безпеки, пропонуємо власну методику його оцінки. Узагальнений алгоритм дослідницьких дій, що будуть здійснені в процесі її застосування, представлений у такій послідовності (рис.</w:t>
      </w:r>
      <w:r w:rsidR="009E479A">
        <w:rPr>
          <w:rFonts w:ascii="Times New Roman" w:hAnsi="Times New Roman" w:cs="Times New Roman"/>
        </w:rPr>
        <w:t>1, рис. 4</w:t>
      </w:r>
      <w:r w:rsidRPr="004574FB">
        <w:rPr>
          <w:rFonts w:ascii="Times New Roman" w:hAnsi="Times New Roman" w:cs="Times New Roman"/>
        </w:rPr>
        <w:t>).</w:t>
      </w:r>
    </w:p>
    <w:p w:rsidR="00E662B2" w:rsidRPr="004574FB" w:rsidRDefault="004154F5" w:rsidP="004574FB">
      <w:pPr>
        <w:spacing w:after="0" w:line="276" w:lineRule="auto"/>
        <w:ind w:firstLine="567"/>
        <w:jc w:val="both"/>
        <w:rPr>
          <w:rFonts w:ascii="Times New Roman" w:hAnsi="Times New Roman" w:cs="Times New Roman"/>
        </w:rPr>
      </w:pPr>
      <w:r>
        <w:rPr>
          <w:rFonts w:ascii="Times New Roman" w:hAnsi="Times New Roman" w:cs="Times New Roman"/>
          <w:noProof/>
          <w:lang w:eastAsia="uk-UA"/>
        </w:rPr>
        <w:pict>
          <v:group id="_x0000_s1189" style="position:absolute;left:0;text-align:left;margin-left:123.45pt;margin-top:8.55pt;width:190.5pt;height:38.25pt;z-index:251662336" coordorigin="3887,5662" coordsize="3810,765">
            <v:rect id="_x0000_s1026" style="position:absolute;left:3887;top:5662;width:3810;height:435">
              <v:shadow on="t" opacity=".5" offset="6pt,-6pt"/>
              <v:textbox style="mso-next-textbox:#_x0000_s1026">
                <w:txbxContent>
                  <w:p w:rsidR="00702F86" w:rsidRPr="0052751F" w:rsidRDefault="00702F86" w:rsidP="00E662B2">
                    <w:pPr>
                      <w:jc w:val="center"/>
                      <w:rPr>
                        <w:b/>
                      </w:rPr>
                    </w:pPr>
                    <w:r w:rsidRPr="0052751F">
                      <w:rPr>
                        <w:b/>
                      </w:rPr>
                      <w:t>І. Підготовча стадія</w:t>
                    </w:r>
                  </w:p>
                </w:txbxContent>
              </v:textbox>
            </v:rect>
            <v:shapetype id="_x0000_t32" coordsize="21600,21600" o:spt="32" o:oned="t" path="m,l21600,21600e" filled="f">
              <v:path arrowok="t" fillok="f" o:connecttype="none"/>
              <o:lock v:ext="edit" shapetype="t"/>
            </v:shapetype>
            <v:shape id="_x0000_s1027" type="#_x0000_t32" style="position:absolute;left:5807;top:6097;width:0;height:330" o:connectortype="straight">
              <v:stroke endarrow="block"/>
            </v:shape>
          </v:group>
        </w:pict>
      </w:r>
    </w:p>
    <w:p w:rsidR="00A42331" w:rsidRDefault="00A42331" w:rsidP="004574FB">
      <w:pPr>
        <w:spacing w:after="0" w:line="276" w:lineRule="auto"/>
        <w:ind w:firstLine="567"/>
        <w:jc w:val="both"/>
        <w:rPr>
          <w:rFonts w:ascii="Times New Roman" w:hAnsi="Times New Roman" w:cs="Times New Roman"/>
        </w:rPr>
      </w:pPr>
    </w:p>
    <w:p w:rsidR="00E662B2" w:rsidRPr="004574FB" w:rsidRDefault="00E662B2" w:rsidP="004574FB">
      <w:pPr>
        <w:spacing w:after="0" w:line="276" w:lineRule="auto"/>
        <w:ind w:firstLine="567"/>
        <w:jc w:val="both"/>
        <w:rPr>
          <w:rFonts w:ascii="Times New Roman" w:hAnsi="Times New Roman" w:cs="Times New Roman"/>
        </w:rPr>
      </w:pPr>
    </w:p>
    <w:p w:rsidR="00E662B2" w:rsidRPr="004574FB" w:rsidRDefault="00E662B2" w:rsidP="00A42331">
      <w:pPr>
        <w:spacing w:after="0" w:line="276" w:lineRule="auto"/>
        <w:jc w:val="both"/>
        <w:rPr>
          <w:rFonts w:ascii="Times New Roman" w:hAnsi="Times New Roman" w:cs="Times New Roman"/>
        </w:rPr>
      </w:pPr>
      <w:r w:rsidRPr="004574FB">
        <w:rPr>
          <w:rFonts w:ascii="Times New Roman" w:hAnsi="Times New Roman" w:cs="Times New Roman"/>
          <w:noProof/>
          <w:lang w:eastAsia="uk-UA"/>
        </w:rPr>
        <w:drawing>
          <wp:inline distT="0" distB="0" distL="0" distR="0">
            <wp:extent cx="5810250" cy="1714500"/>
            <wp:effectExtent l="57150" t="0" r="38100" b="0"/>
            <wp:docPr id="1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662B2" w:rsidRPr="00702F3D" w:rsidRDefault="00A42331" w:rsidP="004574FB">
      <w:pPr>
        <w:spacing w:after="0" w:line="276" w:lineRule="auto"/>
        <w:ind w:firstLine="567"/>
        <w:jc w:val="both"/>
        <w:rPr>
          <w:rFonts w:ascii="Times New Roman" w:hAnsi="Times New Roman" w:cs="Times New Roman"/>
        </w:rPr>
      </w:pPr>
      <w:r w:rsidRPr="00702F3D">
        <w:rPr>
          <w:rFonts w:ascii="Times New Roman" w:hAnsi="Times New Roman" w:cs="Times New Roman"/>
        </w:rPr>
        <w:t xml:space="preserve">Рис. </w:t>
      </w:r>
      <w:r w:rsidR="00E662B2" w:rsidRPr="00702F3D">
        <w:rPr>
          <w:rFonts w:ascii="Times New Roman" w:hAnsi="Times New Roman" w:cs="Times New Roman"/>
        </w:rPr>
        <w:t>1. Перший етап алгоритму методики оцінки податкового боргу як чинника фінансової безпеки держави</w:t>
      </w:r>
    </w:p>
    <w:p w:rsidR="00E662B2" w:rsidRPr="004574FB" w:rsidRDefault="00E662B2" w:rsidP="004574FB">
      <w:pPr>
        <w:spacing w:after="0" w:line="276" w:lineRule="auto"/>
        <w:ind w:firstLine="567"/>
        <w:jc w:val="both"/>
        <w:rPr>
          <w:rFonts w:ascii="Times New Roman" w:hAnsi="Times New Roman" w:cs="Times New Roman"/>
        </w:rPr>
      </w:pPr>
      <w:r w:rsidRPr="004574FB">
        <w:rPr>
          <w:rFonts w:ascii="Times New Roman" w:hAnsi="Times New Roman" w:cs="Times New Roman"/>
        </w:rPr>
        <w:t>Джерело: складено автором</w:t>
      </w:r>
    </w:p>
    <w:p w:rsidR="00E662B2" w:rsidRPr="004574FB" w:rsidRDefault="00A42331" w:rsidP="004574FB">
      <w:pPr>
        <w:spacing w:after="0" w:line="276" w:lineRule="auto"/>
        <w:ind w:firstLine="567"/>
        <w:jc w:val="both"/>
        <w:rPr>
          <w:rFonts w:ascii="Times New Roman" w:hAnsi="Times New Roman" w:cs="Times New Roman"/>
        </w:rPr>
      </w:pPr>
      <w:r>
        <w:rPr>
          <w:rFonts w:ascii="Times New Roman" w:hAnsi="Times New Roman" w:cs="Times New Roman"/>
        </w:rPr>
        <w:t>Н</w:t>
      </w:r>
      <w:r w:rsidR="00E662B2" w:rsidRPr="004574FB">
        <w:rPr>
          <w:rFonts w:ascii="Times New Roman" w:hAnsi="Times New Roman" w:cs="Times New Roman"/>
        </w:rPr>
        <w:t>а першому етапі дослідження, на основі дедуктивного підходу до сутності поняття «фінансова безпека держави» ми виділяємо її складові елементи, висуваючи гіпотезу щодо їх взаємного впливу та взаємної залежності із податковим боргом.</w:t>
      </w:r>
    </w:p>
    <w:p w:rsidR="00E662B2" w:rsidRDefault="00E662B2" w:rsidP="00A42331">
      <w:pPr>
        <w:spacing w:after="0" w:line="276" w:lineRule="auto"/>
        <w:ind w:firstLine="567"/>
        <w:jc w:val="both"/>
        <w:rPr>
          <w:rFonts w:ascii="Times New Roman" w:hAnsi="Times New Roman" w:cs="Times New Roman"/>
        </w:rPr>
      </w:pPr>
      <w:r w:rsidRPr="004574FB">
        <w:rPr>
          <w:rFonts w:ascii="Times New Roman" w:hAnsi="Times New Roman" w:cs="Times New Roman"/>
        </w:rPr>
        <w:t>Фінансова безпека держави є багатокомпонентним та динамічним феноменом,</w:t>
      </w:r>
      <w:r w:rsidR="00A42331">
        <w:rPr>
          <w:rFonts w:ascii="Times New Roman" w:hAnsi="Times New Roman" w:cs="Times New Roman"/>
        </w:rPr>
        <w:t xml:space="preserve"> </w:t>
      </w:r>
      <w:r w:rsidR="003B6C3D" w:rsidRPr="004574FB">
        <w:rPr>
          <w:rFonts w:ascii="Times New Roman" w:hAnsi="Times New Roman" w:cs="Times New Roman"/>
        </w:rPr>
        <w:t>багаторівневою системою, яку утворюють ряд підсистем, кожна з яких має власну структуру і логіку розвитку. Відповідно до безпекової парадигми, фінансова безпека держави включає: бюджетну, податкову, боргову безпеку, фінансову безпеку банківської системи, валютну, грошово-кредитну, інвестиційну безпеку, фінансову безпеку страхового та фондового ринку.</w:t>
      </w:r>
      <w:r w:rsidR="00A42331" w:rsidRPr="00A42331">
        <w:rPr>
          <w:rFonts w:ascii="Times New Roman" w:hAnsi="Times New Roman" w:cs="Times New Roman"/>
        </w:rPr>
        <w:t xml:space="preserve"> </w:t>
      </w:r>
      <w:r w:rsidR="00A42331">
        <w:rPr>
          <w:rFonts w:ascii="Times New Roman" w:hAnsi="Times New Roman" w:cs="Times New Roman"/>
        </w:rPr>
        <w:t>О</w:t>
      </w:r>
      <w:r w:rsidR="00A42331" w:rsidRPr="004574FB">
        <w:rPr>
          <w:rFonts w:ascii="Times New Roman" w:hAnsi="Times New Roman" w:cs="Times New Roman"/>
        </w:rPr>
        <w:t>сновною метою на даному етапі є декомпозиція внутрішнього безпекового  середовища з метою виявлення</w:t>
      </w:r>
      <w:r w:rsidR="00A42331">
        <w:rPr>
          <w:rFonts w:ascii="Times New Roman" w:hAnsi="Times New Roman" w:cs="Times New Roman"/>
        </w:rPr>
        <w:t xml:space="preserve"> найбільш чутливих до податкового боргу сфер. </w:t>
      </w:r>
      <w:r w:rsidRPr="00A42331">
        <w:rPr>
          <w:rFonts w:ascii="Times New Roman" w:hAnsi="Times New Roman" w:cs="Times New Roman"/>
        </w:rPr>
        <w:t>Із скукупності стистичних показників автором було вибрано 2-4 індикатори у розрізі кожно</w:t>
      </w:r>
      <w:r w:rsidR="00A42331">
        <w:rPr>
          <w:rFonts w:ascii="Times New Roman" w:hAnsi="Times New Roman" w:cs="Times New Roman"/>
        </w:rPr>
        <w:t>ї зі складових.</w:t>
      </w:r>
    </w:p>
    <w:p w:rsidR="008D7FC6" w:rsidRDefault="00A42331" w:rsidP="008D7FC6">
      <w:pPr>
        <w:spacing w:after="0" w:line="276" w:lineRule="auto"/>
        <w:ind w:firstLine="567"/>
        <w:jc w:val="both"/>
        <w:rPr>
          <w:rFonts w:ascii="Times New Roman" w:hAnsi="Times New Roman" w:cs="Times New Roman"/>
        </w:rPr>
      </w:pPr>
      <w:r>
        <w:rPr>
          <w:rFonts w:ascii="Times New Roman" w:hAnsi="Times New Roman" w:cs="Times New Roman"/>
        </w:rPr>
        <w:t>Продемонструємо методику дослідження на двох індикаторах податкової безпеки, а саме рівні податкового навантаження та рівні тіньової економіки.</w:t>
      </w:r>
    </w:p>
    <w:p w:rsidR="00F53037" w:rsidRPr="00D73795" w:rsidRDefault="00F53037" w:rsidP="00D73795">
      <w:pPr>
        <w:spacing w:after="0" w:line="276" w:lineRule="auto"/>
        <w:ind w:firstLine="567"/>
        <w:jc w:val="both"/>
        <w:rPr>
          <w:rFonts w:ascii="Times New Roman" w:hAnsi="Times New Roman" w:cs="Times New Roman"/>
        </w:rPr>
      </w:pPr>
      <w:r w:rsidRPr="004574FB">
        <w:rPr>
          <w:rFonts w:ascii="Times New Roman" w:hAnsi="Times New Roman" w:cs="Times New Roman"/>
          <w:color w:val="000000"/>
        </w:rPr>
        <w:t>Зогляду на те, що рівень економічної безпеки не є статичним, всі його показ</w:t>
      </w:r>
      <w:r w:rsidR="008D7FC6">
        <w:rPr>
          <w:rFonts w:ascii="Times New Roman" w:hAnsi="Times New Roman" w:cs="Times New Roman"/>
          <w:color w:val="000000"/>
        </w:rPr>
        <w:t xml:space="preserve">ники динамічно змінюються, </w:t>
      </w:r>
      <w:r w:rsidRPr="004574FB">
        <w:rPr>
          <w:rFonts w:ascii="Times New Roman" w:hAnsi="Times New Roman" w:cs="Times New Roman"/>
          <w:color w:val="000000"/>
        </w:rPr>
        <w:t>важливо визначити діапазон їх коливань,  позначений  граничними (максимальними та мінімальними) значеннями.</w:t>
      </w:r>
      <w:r w:rsidR="00D73795">
        <w:rPr>
          <w:rFonts w:ascii="Times New Roman" w:hAnsi="Times New Roman" w:cs="Times New Roman"/>
        </w:rPr>
        <w:t xml:space="preserve"> </w:t>
      </w:r>
      <w:r w:rsidRPr="004574FB">
        <w:rPr>
          <w:rFonts w:ascii="Times New Roman" w:hAnsi="Times New Roman" w:cs="Times New Roman"/>
        </w:rPr>
        <w:t xml:space="preserve">Прийнятний рівень безпеки досягається при </w:t>
      </w:r>
      <w:r w:rsidRPr="004574FB">
        <w:rPr>
          <w:rFonts w:ascii="Times New Roman" w:hAnsi="Times New Roman" w:cs="Times New Roman"/>
        </w:rPr>
        <w:lastRenderedPageBreak/>
        <w:t>умові, що всі індикатори знаходяться в межах своїх порогових значень</w:t>
      </w:r>
      <w:r w:rsidRPr="004574FB">
        <w:rPr>
          <w:rFonts w:ascii="Times New Roman" w:hAnsi="Times New Roman" w:cs="Times New Roman"/>
          <w:color w:val="000000"/>
        </w:rPr>
        <w:t xml:space="preserve">. </w:t>
      </w:r>
      <w:r w:rsidRPr="004574FB">
        <w:rPr>
          <w:rFonts w:ascii="Times New Roman" w:hAnsi="Times New Roman" w:cs="Times New Roman"/>
        </w:rPr>
        <w:t>Якщо хоч по одному із індикаторів система перейшла поріг передкризового (кризового) стану, то вона розглядається як така, що знаходиться в передкризовому (кризовому) стані. Якщо хоча б за двома із індикаторів система перейшла передкризовий поріг, то вона розглядається як така, що знаходиться в кризовому стані.</w:t>
      </w:r>
    </w:p>
    <w:p w:rsidR="00F53037" w:rsidRPr="004574FB" w:rsidRDefault="00F53037" w:rsidP="004574FB">
      <w:pPr>
        <w:spacing w:after="0" w:line="276" w:lineRule="auto"/>
        <w:ind w:firstLine="567"/>
        <w:jc w:val="both"/>
        <w:rPr>
          <w:rFonts w:ascii="Times New Roman" w:hAnsi="Times New Roman" w:cs="Times New Roman"/>
        </w:rPr>
      </w:pPr>
      <w:r w:rsidRPr="004574FB">
        <w:rPr>
          <w:rFonts w:ascii="Times New Roman" w:hAnsi="Times New Roman" w:cs="Times New Roman"/>
        </w:rPr>
        <w:t xml:space="preserve">Визначення порогових значень напряму залежить від специфіки сфери, до якої належить досліджуване явище. Оскільки спроба побудувати систему оцінки податково-боргової безпеки здійснюється нами вперше, то ми вважаємо за потрібне залучити досвід фахівців, що тривалий час працюють над вивченням процесів оподаткування, податкового боргу та безпекознавства, які на основі власного досвіду та інтуїції визначать рівень ризикованості відхилень. </w:t>
      </w:r>
    </w:p>
    <w:p w:rsidR="00F53037" w:rsidRPr="0034720F" w:rsidRDefault="003B6C3D" w:rsidP="004574FB">
      <w:pPr>
        <w:spacing w:after="0" w:line="276" w:lineRule="auto"/>
        <w:ind w:firstLine="567"/>
        <w:jc w:val="both"/>
        <w:rPr>
          <w:rFonts w:ascii="Times New Roman" w:hAnsi="Times New Roman" w:cs="Times New Roman"/>
        </w:rPr>
      </w:pPr>
      <w:r w:rsidRPr="004574FB">
        <w:rPr>
          <w:rFonts w:ascii="Times New Roman" w:hAnsi="Times New Roman" w:cs="Times New Roman"/>
        </w:rPr>
        <w:t>Податкова безпека – це спроможність податкової системи до «… своєчасного виявлення та запобігання потенційних загроз у сфері оподаткування та здатність системи оподаткування в повній мірі реалізовувати усі функції податків як фіскальної так і регулюючої та соціальної з метою максимального узгодження інтересів держави та платників податків. Створення дієвої системи податкової безпеки передбачає чітке визначення джерел потенційної загрози у тій чи іншій сфері, а також наявних і необхідних ресурсів для їх нейтралізації»</w:t>
      </w:r>
      <w:r w:rsidR="004159F1">
        <w:rPr>
          <w:rFonts w:ascii="Times New Roman" w:hAnsi="Times New Roman" w:cs="Times New Roman"/>
        </w:rPr>
        <w:t xml:space="preserve"> </w:t>
      </w:r>
      <w:r w:rsidR="0034720F" w:rsidRPr="0034720F">
        <w:rPr>
          <w:rFonts w:ascii="Times New Roman" w:hAnsi="Times New Roman" w:cs="Times New Roman"/>
        </w:rPr>
        <w:t>[1</w:t>
      </w:r>
      <w:r w:rsidR="0034720F">
        <w:rPr>
          <w:rFonts w:ascii="Times New Roman" w:hAnsi="Times New Roman" w:cs="Times New Roman"/>
        </w:rPr>
        <w:t>, с. 133-135</w:t>
      </w:r>
      <w:r w:rsidR="0034720F" w:rsidRPr="0034720F">
        <w:rPr>
          <w:rFonts w:ascii="Times New Roman" w:hAnsi="Times New Roman" w:cs="Times New Roman"/>
        </w:rPr>
        <w:t>]</w:t>
      </w:r>
      <w:r w:rsidR="0034720F">
        <w:rPr>
          <w:rFonts w:ascii="Times New Roman" w:hAnsi="Times New Roman" w:cs="Times New Roman"/>
        </w:rPr>
        <w:t>.</w:t>
      </w:r>
    </w:p>
    <w:p w:rsidR="003B6C3D" w:rsidRPr="004574FB" w:rsidRDefault="003B6C3D" w:rsidP="00702F3D">
      <w:pPr>
        <w:shd w:val="clear" w:color="auto" w:fill="FFFFFF"/>
        <w:spacing w:after="0" w:line="276" w:lineRule="auto"/>
        <w:ind w:firstLine="567"/>
        <w:jc w:val="both"/>
        <w:rPr>
          <w:rFonts w:ascii="Times New Roman" w:hAnsi="Times New Roman" w:cs="Times New Roman"/>
        </w:rPr>
      </w:pPr>
      <w:r w:rsidRPr="004574FB">
        <w:rPr>
          <w:rFonts w:ascii="Times New Roman" w:hAnsi="Times New Roman" w:cs="Times New Roman"/>
        </w:rPr>
        <w:t>З позицій фіскальної достатності проблема податкової безпеки зводиться до забезпечення держави таким обсягом податкових надходжень, який є оптимально необхідним</w:t>
      </w:r>
      <w:r w:rsidR="00702F3D">
        <w:rPr>
          <w:rFonts w:ascii="Times New Roman" w:hAnsi="Times New Roman" w:cs="Times New Roman"/>
        </w:rPr>
        <w:t>,</w:t>
      </w:r>
      <w:r w:rsidRPr="004574FB">
        <w:rPr>
          <w:rFonts w:ascii="Times New Roman" w:hAnsi="Times New Roman" w:cs="Times New Roman"/>
        </w:rPr>
        <w:t xml:space="preserve"> </w:t>
      </w:r>
      <w:r w:rsidR="0034720F">
        <w:rPr>
          <w:rFonts w:ascii="Times New Roman" w:hAnsi="Times New Roman" w:cs="Times New Roman"/>
        </w:rPr>
        <w:t xml:space="preserve">та </w:t>
      </w:r>
      <w:r w:rsidR="00702F3D">
        <w:rPr>
          <w:rFonts w:ascii="Times New Roman" w:hAnsi="Times New Roman" w:cs="Times New Roman"/>
        </w:rPr>
        <w:t xml:space="preserve">до </w:t>
      </w:r>
      <w:r w:rsidR="0034720F">
        <w:rPr>
          <w:rFonts w:ascii="Times New Roman" w:hAnsi="Times New Roman" w:cs="Times New Roman"/>
        </w:rPr>
        <w:t>оптимізації</w:t>
      </w:r>
      <w:r w:rsidRPr="004574FB">
        <w:rPr>
          <w:rFonts w:ascii="Times New Roman" w:hAnsi="Times New Roman" w:cs="Times New Roman"/>
        </w:rPr>
        <w:t xml:space="preserve"> рівня оподаткування, адже </w:t>
      </w:r>
      <w:r w:rsidR="0034720F">
        <w:rPr>
          <w:rFonts w:ascii="Times New Roman" w:hAnsi="Times New Roman" w:cs="Times New Roman"/>
        </w:rPr>
        <w:t xml:space="preserve">його </w:t>
      </w:r>
      <w:r w:rsidRPr="004574FB">
        <w:rPr>
          <w:rFonts w:ascii="Times New Roman" w:hAnsi="Times New Roman" w:cs="Times New Roman"/>
        </w:rPr>
        <w:t xml:space="preserve">надмірне підвищення призводить до збільшення тіньової економіки, згортання легального бізнесу, масового ухилення </w:t>
      </w:r>
      <w:r w:rsidR="0034720F">
        <w:rPr>
          <w:rFonts w:ascii="Times New Roman" w:hAnsi="Times New Roman" w:cs="Times New Roman"/>
        </w:rPr>
        <w:t xml:space="preserve">від сплати податків, а відтак – </w:t>
      </w:r>
      <w:r w:rsidRPr="004574FB">
        <w:rPr>
          <w:rFonts w:ascii="Times New Roman" w:hAnsi="Times New Roman" w:cs="Times New Roman"/>
        </w:rPr>
        <w:t xml:space="preserve">до скорочення податкової бази. </w:t>
      </w:r>
      <w:r w:rsidR="00702F3D" w:rsidRPr="004574FB">
        <w:rPr>
          <w:rFonts w:ascii="Times New Roman" w:hAnsi="Times New Roman" w:cs="Times New Roman"/>
        </w:rPr>
        <w:t xml:space="preserve">Надмірне податкове навантаження є негативним фактором податкової політики, яка </w:t>
      </w:r>
      <w:r w:rsidR="00A677D8">
        <w:rPr>
          <w:rFonts w:ascii="Times New Roman" w:hAnsi="Times New Roman" w:cs="Times New Roman"/>
        </w:rPr>
        <w:t>перешкоджає</w:t>
      </w:r>
      <w:r w:rsidR="00702F3D" w:rsidRPr="004574FB">
        <w:rPr>
          <w:rFonts w:ascii="Times New Roman" w:hAnsi="Times New Roman" w:cs="Times New Roman"/>
        </w:rPr>
        <w:t xml:space="preserve"> нормально</w:t>
      </w:r>
      <w:r w:rsidR="00A677D8">
        <w:rPr>
          <w:rFonts w:ascii="Times New Roman" w:hAnsi="Times New Roman" w:cs="Times New Roman"/>
        </w:rPr>
        <w:t>му функціонуванню підприємств</w:t>
      </w:r>
      <w:r w:rsidR="00702F3D">
        <w:rPr>
          <w:rFonts w:ascii="Times New Roman" w:hAnsi="Times New Roman" w:cs="Times New Roman"/>
        </w:rPr>
        <w:t>, стримує ділову активність субʼ</w:t>
      </w:r>
      <w:r w:rsidR="00702F3D" w:rsidRPr="004574FB">
        <w:rPr>
          <w:rFonts w:ascii="Times New Roman" w:hAnsi="Times New Roman" w:cs="Times New Roman"/>
        </w:rPr>
        <w:t xml:space="preserve">єктів господарювання. </w:t>
      </w:r>
    </w:p>
    <w:p w:rsidR="003B6C3D" w:rsidRPr="004574FB" w:rsidRDefault="003B6C3D" w:rsidP="00180647">
      <w:pPr>
        <w:spacing w:line="276" w:lineRule="auto"/>
        <w:rPr>
          <w:rFonts w:ascii="Times New Roman" w:hAnsi="Times New Roman" w:cs="Times New Roman"/>
        </w:rPr>
      </w:pPr>
      <w:r w:rsidRPr="004574FB">
        <w:rPr>
          <w:rFonts w:ascii="Times New Roman" w:hAnsi="Times New Roman" w:cs="Times New Roman"/>
          <w:noProof/>
          <w:lang w:eastAsia="uk-UA"/>
        </w:rPr>
        <w:drawing>
          <wp:inline distT="0" distB="0" distL="0" distR="0">
            <wp:extent cx="5734050" cy="2276475"/>
            <wp:effectExtent l="19050" t="0" r="1905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6C3D" w:rsidRPr="004574FB" w:rsidRDefault="009E479A" w:rsidP="00370782">
      <w:pPr>
        <w:spacing w:after="0" w:line="276" w:lineRule="auto"/>
        <w:ind w:left="360"/>
        <w:rPr>
          <w:rFonts w:ascii="Times New Roman" w:hAnsi="Times New Roman" w:cs="Times New Roman"/>
        </w:rPr>
      </w:pPr>
      <w:r>
        <w:rPr>
          <w:rFonts w:ascii="Times New Roman" w:hAnsi="Times New Roman" w:cs="Times New Roman"/>
        </w:rPr>
        <w:t>Рис. 2.</w:t>
      </w:r>
      <w:r w:rsidR="003B6C3D" w:rsidRPr="004574FB">
        <w:rPr>
          <w:rFonts w:ascii="Times New Roman" w:hAnsi="Times New Roman" w:cs="Times New Roman"/>
        </w:rPr>
        <w:t xml:space="preserve"> Динаміка податкового навантаження в 2004 – 2013 рр. в діапазоні граничних значень</w:t>
      </w:r>
    </w:p>
    <w:p w:rsidR="00180647" w:rsidRDefault="003B6C3D" w:rsidP="00180647">
      <w:pPr>
        <w:spacing w:after="0" w:line="276" w:lineRule="auto"/>
        <w:ind w:left="360"/>
        <w:rPr>
          <w:rFonts w:ascii="Times New Roman" w:hAnsi="Times New Roman" w:cs="Times New Roman"/>
        </w:rPr>
      </w:pPr>
      <w:r w:rsidRPr="004574FB">
        <w:rPr>
          <w:rFonts w:ascii="Times New Roman" w:hAnsi="Times New Roman" w:cs="Times New Roman"/>
        </w:rPr>
        <w:t>Джерело: складено автором за [</w:t>
      </w:r>
      <w:r w:rsidR="00CA02DE">
        <w:rPr>
          <w:rFonts w:ascii="Times New Roman" w:hAnsi="Times New Roman" w:cs="Times New Roman"/>
        </w:rPr>
        <w:t>2</w:t>
      </w:r>
      <w:r w:rsidRPr="004574FB">
        <w:rPr>
          <w:rFonts w:ascii="Times New Roman" w:hAnsi="Times New Roman" w:cs="Times New Roman"/>
        </w:rPr>
        <w:t>]</w:t>
      </w:r>
    </w:p>
    <w:p w:rsidR="00180647" w:rsidRPr="00180647" w:rsidRDefault="00180647" w:rsidP="00BC71B4">
      <w:pPr>
        <w:spacing w:after="0" w:line="276" w:lineRule="auto"/>
        <w:ind w:firstLine="567"/>
        <w:jc w:val="both"/>
        <w:rPr>
          <w:rFonts w:ascii="Times New Roman" w:hAnsi="Times New Roman" w:cs="Times New Roman"/>
        </w:rPr>
      </w:pPr>
      <w:r>
        <w:rPr>
          <w:rFonts w:ascii="Times New Roman" w:hAnsi="Times New Roman" w:cs="Times New Roman"/>
        </w:rPr>
        <w:t>І</w:t>
      </w:r>
      <w:r w:rsidRPr="004574FB">
        <w:rPr>
          <w:rFonts w:ascii="Times New Roman" w:eastAsia="Calibri" w:hAnsi="Times New Roman" w:cs="Times New Roman"/>
        </w:rPr>
        <w:t>з рисунку</w:t>
      </w:r>
      <w:r>
        <w:rPr>
          <w:rFonts w:ascii="Times New Roman" w:eastAsia="Calibri" w:hAnsi="Times New Roman" w:cs="Times New Roman"/>
        </w:rPr>
        <w:t xml:space="preserve"> бачимо</w:t>
      </w:r>
      <w:r w:rsidRPr="004574FB">
        <w:rPr>
          <w:rFonts w:ascii="Times New Roman" w:eastAsia="Calibri" w:hAnsi="Times New Roman" w:cs="Times New Roman"/>
        </w:rPr>
        <w:t xml:space="preserve">, </w:t>
      </w:r>
      <w:r>
        <w:rPr>
          <w:rFonts w:ascii="Times New Roman" w:eastAsia="Calibri" w:hAnsi="Times New Roman" w:cs="Times New Roman"/>
        </w:rPr>
        <w:t xml:space="preserve">що </w:t>
      </w:r>
      <w:r w:rsidR="00BC71B4">
        <w:rPr>
          <w:rFonts w:ascii="Times New Roman" w:eastAsia="Calibri" w:hAnsi="Times New Roman" w:cs="Times New Roman"/>
        </w:rPr>
        <w:t>у період з</w:t>
      </w:r>
      <w:r w:rsidRPr="004574FB">
        <w:rPr>
          <w:rFonts w:ascii="Times New Roman" w:eastAsia="Calibri" w:hAnsi="Times New Roman" w:cs="Times New Roman"/>
        </w:rPr>
        <w:t xml:space="preserve"> 2004 до 2013 рр. в Україні </w:t>
      </w:r>
      <w:r w:rsidR="00033631">
        <w:rPr>
          <w:rFonts w:ascii="Times New Roman" w:eastAsia="Calibri" w:hAnsi="Times New Roman" w:cs="Times New Roman"/>
        </w:rPr>
        <w:t xml:space="preserve"> рівень </w:t>
      </w:r>
      <w:r w:rsidR="00BC71B4">
        <w:rPr>
          <w:rFonts w:ascii="Times New Roman" w:eastAsia="Calibri" w:hAnsi="Times New Roman" w:cs="Times New Roman"/>
        </w:rPr>
        <w:t>податкового навантаження</w:t>
      </w:r>
      <w:r w:rsidRPr="004574FB">
        <w:rPr>
          <w:rFonts w:ascii="Times New Roman" w:eastAsia="Calibri" w:hAnsi="Times New Roman" w:cs="Times New Roman"/>
        </w:rPr>
        <w:t xml:space="preserve"> </w:t>
      </w:r>
      <w:r w:rsidR="00BC71B4">
        <w:rPr>
          <w:rFonts w:ascii="Times New Roman" w:eastAsia="Calibri" w:hAnsi="Times New Roman" w:cs="Times New Roman"/>
        </w:rPr>
        <w:t xml:space="preserve">не </w:t>
      </w:r>
      <w:r w:rsidR="00033631">
        <w:rPr>
          <w:rFonts w:ascii="Times New Roman" w:eastAsia="Calibri" w:hAnsi="Times New Roman" w:cs="Times New Roman"/>
        </w:rPr>
        <w:t xml:space="preserve">перевищує верхнього порогового </w:t>
      </w:r>
      <w:r w:rsidRPr="004574FB">
        <w:rPr>
          <w:rFonts w:ascii="Times New Roman" w:eastAsia="Calibri" w:hAnsi="Times New Roman" w:cs="Times New Roman"/>
        </w:rPr>
        <w:t xml:space="preserve">значення, </w:t>
      </w:r>
      <w:r w:rsidR="00BC71B4">
        <w:rPr>
          <w:rFonts w:ascii="Times New Roman" w:eastAsia="Calibri" w:hAnsi="Times New Roman" w:cs="Times New Roman"/>
        </w:rPr>
        <w:t xml:space="preserve">більше того </w:t>
      </w:r>
      <w:r w:rsidR="00033631">
        <w:rPr>
          <w:rFonts w:ascii="Times New Roman" w:eastAsia="Calibri" w:hAnsi="Times New Roman" w:cs="Times New Roman"/>
        </w:rPr>
        <w:t xml:space="preserve">– </w:t>
      </w:r>
      <w:r w:rsidR="00BC71B4">
        <w:rPr>
          <w:rFonts w:ascii="Times New Roman" w:eastAsia="Calibri" w:hAnsi="Times New Roman" w:cs="Times New Roman"/>
        </w:rPr>
        <w:t>прямує до верхнього оптимального. На перший погляд, це</w:t>
      </w:r>
      <w:r w:rsidRPr="004574FB">
        <w:rPr>
          <w:rFonts w:ascii="Times New Roman" w:eastAsia="Calibri" w:hAnsi="Times New Roman" w:cs="Times New Roman"/>
        </w:rPr>
        <w:t xml:space="preserve"> свідчить про </w:t>
      </w:r>
      <w:r w:rsidR="00BC71B4">
        <w:rPr>
          <w:rFonts w:ascii="Times New Roman" w:eastAsia="Calibri" w:hAnsi="Times New Roman" w:cs="Times New Roman"/>
        </w:rPr>
        <w:t xml:space="preserve"> позитивну </w:t>
      </w:r>
      <w:r w:rsidR="00033631">
        <w:rPr>
          <w:rFonts w:ascii="Times New Roman" w:eastAsia="Calibri" w:hAnsi="Times New Roman" w:cs="Times New Roman"/>
        </w:rPr>
        <w:t>динаміку</w:t>
      </w:r>
      <w:r w:rsidR="00BC71B4">
        <w:rPr>
          <w:rFonts w:ascii="Times New Roman" w:eastAsia="Calibri" w:hAnsi="Times New Roman" w:cs="Times New Roman"/>
        </w:rPr>
        <w:t xml:space="preserve"> даного показника, проте варто зазначити, що граничні значення наведені відповідно до нормативів, прийнятних у розвинутих державах</w:t>
      </w:r>
      <w:r w:rsidR="00033631">
        <w:rPr>
          <w:rFonts w:ascii="Times New Roman" w:eastAsia="Calibri" w:hAnsi="Times New Roman" w:cs="Times New Roman"/>
        </w:rPr>
        <w:t xml:space="preserve"> світу</w:t>
      </w:r>
      <w:r w:rsidR="00BC71B4">
        <w:rPr>
          <w:rFonts w:ascii="Times New Roman" w:eastAsia="Calibri" w:hAnsi="Times New Roman" w:cs="Times New Roman"/>
        </w:rPr>
        <w:t>, де значний рівень податкового  навантаження компенсується високим ступенем еквівалентності повернутих державою благ платникам податків. В нашій державі, на жаль</w:t>
      </w:r>
      <w:r w:rsidR="00033631">
        <w:rPr>
          <w:rFonts w:ascii="Times New Roman" w:eastAsia="Calibri" w:hAnsi="Times New Roman" w:cs="Times New Roman"/>
        </w:rPr>
        <w:t>, таке явище не спостерігається, тому про позитивний тренд говорити не доводиться.</w:t>
      </w:r>
    </w:p>
    <w:p w:rsidR="003B6C3D" w:rsidRPr="004574FB" w:rsidRDefault="003B6C3D" w:rsidP="0099465F">
      <w:pPr>
        <w:spacing w:after="0" w:line="276" w:lineRule="auto"/>
        <w:ind w:firstLine="567"/>
        <w:jc w:val="both"/>
        <w:rPr>
          <w:rFonts w:ascii="Times New Roman" w:hAnsi="Times New Roman" w:cs="Times New Roman"/>
        </w:rPr>
      </w:pPr>
      <w:r w:rsidRPr="004574FB">
        <w:rPr>
          <w:rFonts w:ascii="Times New Roman" w:eastAsia="Calibri" w:hAnsi="Times New Roman" w:cs="Times New Roman"/>
        </w:rPr>
        <w:lastRenderedPageBreak/>
        <w:t>Під</w:t>
      </w:r>
      <w:r w:rsidRPr="004574FB">
        <w:rPr>
          <w:rFonts w:ascii="Times New Roman" w:eastAsia="Calibri" w:hAnsi="Times New Roman" w:cs="Times New Roman"/>
          <w:b/>
        </w:rPr>
        <w:t xml:space="preserve"> </w:t>
      </w:r>
      <w:r w:rsidRPr="004574FB">
        <w:rPr>
          <w:rFonts w:ascii="Times New Roman" w:eastAsia="Calibri" w:hAnsi="Times New Roman" w:cs="Times New Roman"/>
        </w:rPr>
        <w:t xml:space="preserve">тіньовою економікою слід розуміти господарську діяльність, доходи від якої </w:t>
      </w:r>
      <w:r w:rsidRPr="004574FB">
        <w:rPr>
          <w:rFonts w:ascii="Times New Roman" w:hAnsi="Times New Roman" w:cs="Times New Roman"/>
        </w:rPr>
        <w:t xml:space="preserve">повністю або частково </w:t>
      </w:r>
      <w:r w:rsidRPr="004574FB">
        <w:rPr>
          <w:rFonts w:ascii="Times New Roman" w:eastAsia="Calibri" w:hAnsi="Times New Roman" w:cs="Times New Roman"/>
        </w:rPr>
        <w:t>знаходяться за межами офіційного об</w:t>
      </w:r>
      <w:r w:rsidR="00AF2404">
        <w:rPr>
          <w:rFonts w:ascii="Times New Roman" w:eastAsia="Calibri" w:hAnsi="Times New Roman" w:cs="Times New Roman"/>
        </w:rPr>
        <w:t>ліку та контролю, т</w:t>
      </w:r>
      <w:r w:rsidRPr="004574FB">
        <w:rPr>
          <w:rFonts w:ascii="Times New Roman" w:eastAsia="Calibri" w:hAnsi="Times New Roman" w:cs="Times New Roman"/>
        </w:rPr>
        <w:t>обто суб’єкт господарювання здійснює свою діяль</w:t>
      </w:r>
      <w:r w:rsidR="00AF2404">
        <w:rPr>
          <w:rFonts w:ascii="Times New Roman" w:eastAsia="Calibri" w:hAnsi="Times New Roman" w:cs="Times New Roman"/>
        </w:rPr>
        <w:t xml:space="preserve">ність, отримує прибутки, які </w:t>
      </w:r>
      <w:r w:rsidRPr="004574FB">
        <w:rPr>
          <w:rFonts w:ascii="Times New Roman" w:eastAsia="Calibri" w:hAnsi="Times New Roman" w:cs="Times New Roman"/>
        </w:rPr>
        <w:t>не ко</w:t>
      </w:r>
      <w:r w:rsidR="00AF2404">
        <w:rPr>
          <w:rFonts w:ascii="Times New Roman" w:eastAsia="Calibri" w:hAnsi="Times New Roman" w:cs="Times New Roman"/>
        </w:rPr>
        <w:t xml:space="preserve">нтролюються, і як наслідок, </w:t>
      </w:r>
      <w:r w:rsidRPr="004574FB">
        <w:rPr>
          <w:rFonts w:ascii="Times New Roman" w:eastAsia="Calibri" w:hAnsi="Times New Roman" w:cs="Times New Roman"/>
        </w:rPr>
        <w:t>не сплачує податки, тим самим порушуючи по</w:t>
      </w:r>
      <w:r w:rsidR="00AF2404">
        <w:rPr>
          <w:rFonts w:ascii="Times New Roman" w:eastAsia="Calibri" w:hAnsi="Times New Roman" w:cs="Times New Roman"/>
        </w:rPr>
        <w:t>даткове законодавство і підриваючи</w:t>
      </w:r>
      <w:r w:rsidRPr="004574FB">
        <w:rPr>
          <w:rFonts w:ascii="Times New Roman" w:eastAsia="Calibri" w:hAnsi="Times New Roman" w:cs="Times New Roman"/>
        </w:rPr>
        <w:t xml:space="preserve"> економічну основу функціонування держави</w:t>
      </w:r>
      <w:r w:rsidRPr="004574FB">
        <w:rPr>
          <w:rFonts w:ascii="Times New Roman" w:hAnsi="Times New Roman" w:cs="Times New Roman"/>
        </w:rPr>
        <w:t xml:space="preserve">. </w:t>
      </w:r>
      <w:r w:rsidRPr="004574FB">
        <w:rPr>
          <w:rFonts w:ascii="Times New Roman" w:eastAsia="Calibri" w:hAnsi="Times New Roman" w:cs="Times New Roman"/>
        </w:rPr>
        <w:t>На думку незалежних експертів, найпоширен</w:t>
      </w:r>
      <w:r w:rsidR="0099465F">
        <w:rPr>
          <w:rFonts w:ascii="Times New Roman" w:eastAsia="Calibri" w:hAnsi="Times New Roman" w:cs="Times New Roman"/>
        </w:rPr>
        <w:t>ішими видами тіньової економіки</w:t>
      </w:r>
      <w:r w:rsidRPr="004574FB">
        <w:rPr>
          <w:rFonts w:ascii="Times New Roman" w:eastAsia="Calibri" w:hAnsi="Times New Roman" w:cs="Times New Roman"/>
        </w:rPr>
        <w:t>, крім доходів від злочинної діяльності, є: оптимізація податків, незаконне повернення податку на додану вартість, зарплати «в конвертах».</w:t>
      </w:r>
      <w:r w:rsidR="0099465F">
        <w:rPr>
          <w:rFonts w:ascii="Times New Roman" w:eastAsia="Calibri" w:hAnsi="Times New Roman" w:cs="Times New Roman"/>
        </w:rPr>
        <w:t xml:space="preserve"> Відповідно до світової практики</w:t>
      </w:r>
      <w:r w:rsidRPr="004574FB">
        <w:rPr>
          <w:rFonts w:ascii="Times New Roman" w:eastAsia="Calibri" w:hAnsi="Times New Roman" w:cs="Times New Roman"/>
        </w:rPr>
        <w:t>, у випадку, коли обсяг тіньової діяльності перевищую 30% ВВП (у деяких науковців зазначено 40%), настає критична точка, перевищення якої говорить про те, що в країні створилась відтворювальна система тіньових відносин. Внаслідок значних масштабів тіньової економічної діяльності істотно змінюються обсяги і структура ВВП, спотворюються офіційні дані про його величину, однак за різними методиками динаміка розгортання тіньового сектору в Україні має наступний тренд:</w:t>
      </w:r>
    </w:p>
    <w:p w:rsidR="003B6C3D" w:rsidRPr="004574FB" w:rsidRDefault="003B6C3D" w:rsidP="004574FB">
      <w:pPr>
        <w:spacing w:line="276" w:lineRule="auto"/>
        <w:rPr>
          <w:rFonts w:ascii="Times New Roman" w:hAnsi="Times New Roman" w:cs="Times New Roman"/>
        </w:rPr>
      </w:pPr>
      <w:r w:rsidRPr="004574FB">
        <w:rPr>
          <w:rFonts w:ascii="Times New Roman" w:hAnsi="Times New Roman" w:cs="Times New Roman"/>
          <w:noProof/>
          <w:lang w:eastAsia="uk-UA"/>
        </w:rPr>
        <w:drawing>
          <wp:inline distT="0" distB="0" distL="0" distR="0">
            <wp:extent cx="6162675" cy="2200275"/>
            <wp:effectExtent l="19050" t="0" r="9525"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6C3D" w:rsidRPr="004574FB" w:rsidRDefault="00E76EDE" w:rsidP="00E76EDE">
      <w:pPr>
        <w:spacing w:after="0" w:line="276" w:lineRule="auto"/>
        <w:ind w:firstLine="567"/>
        <w:rPr>
          <w:rFonts w:ascii="Times New Roman" w:hAnsi="Times New Roman" w:cs="Times New Roman"/>
        </w:rPr>
      </w:pPr>
      <w:r>
        <w:rPr>
          <w:rFonts w:ascii="Times New Roman" w:hAnsi="Times New Roman" w:cs="Times New Roman"/>
        </w:rPr>
        <w:t>Рис. 3</w:t>
      </w:r>
      <w:r w:rsidR="003B6C3D" w:rsidRPr="004574FB">
        <w:rPr>
          <w:rFonts w:ascii="Times New Roman" w:hAnsi="Times New Roman" w:cs="Times New Roman"/>
        </w:rPr>
        <w:t xml:space="preserve">.Обсяги тіньової економіки </w:t>
      </w:r>
      <w:r>
        <w:rPr>
          <w:rFonts w:ascii="Times New Roman" w:hAnsi="Times New Roman" w:cs="Times New Roman"/>
        </w:rPr>
        <w:t>та діапазон її граничних значень</w:t>
      </w:r>
      <w:r w:rsidR="003B6C3D" w:rsidRPr="004574FB">
        <w:rPr>
          <w:rFonts w:ascii="Times New Roman" w:hAnsi="Times New Roman" w:cs="Times New Roman"/>
        </w:rPr>
        <w:t xml:space="preserve">, % до ВВП </w:t>
      </w:r>
    </w:p>
    <w:p w:rsidR="003B6C3D" w:rsidRPr="004574FB" w:rsidRDefault="003B6C3D" w:rsidP="00E76EDE">
      <w:pPr>
        <w:spacing w:after="0" w:line="276" w:lineRule="auto"/>
        <w:ind w:firstLine="567"/>
        <w:rPr>
          <w:rFonts w:ascii="Times New Roman" w:hAnsi="Times New Roman" w:cs="Times New Roman"/>
        </w:rPr>
      </w:pPr>
      <w:r w:rsidRPr="004574FB">
        <w:rPr>
          <w:rFonts w:ascii="Times New Roman" w:hAnsi="Times New Roman" w:cs="Times New Roman"/>
        </w:rPr>
        <w:t>Джерело: складено автором за [</w:t>
      </w:r>
      <w:r w:rsidR="00CA02DE">
        <w:rPr>
          <w:rFonts w:ascii="Times New Roman" w:hAnsi="Times New Roman" w:cs="Times New Roman"/>
        </w:rPr>
        <w:t>3</w:t>
      </w:r>
      <w:r w:rsidRPr="004574FB">
        <w:rPr>
          <w:rFonts w:ascii="Times New Roman" w:hAnsi="Times New Roman" w:cs="Times New Roman"/>
        </w:rPr>
        <w:t>]</w:t>
      </w:r>
    </w:p>
    <w:p w:rsidR="003B6C3D" w:rsidRPr="004574FB" w:rsidRDefault="003B6C3D" w:rsidP="00E76EDE">
      <w:pPr>
        <w:pStyle w:val="BodyTextIndent2"/>
        <w:spacing w:line="276" w:lineRule="auto"/>
        <w:rPr>
          <w:rFonts w:eastAsia="Calibri"/>
          <w:sz w:val="22"/>
          <w:szCs w:val="22"/>
          <w:lang w:eastAsia="en-US"/>
        </w:rPr>
      </w:pPr>
      <w:r w:rsidRPr="004574FB">
        <w:rPr>
          <w:rFonts w:eastAsia="Calibri"/>
          <w:sz w:val="22"/>
          <w:szCs w:val="22"/>
          <w:lang w:eastAsia="en-US"/>
        </w:rPr>
        <w:t>Як видно із рисунку, починаючи від 2004 до 2013 рр. в Україні обсяг тіньової економіки багатократно перевищує верхнє порогове значення, що свідчить про переростання даного негативного явища у пряму загрозу фінансовій та навіть національній безпеці.</w:t>
      </w:r>
    </w:p>
    <w:p w:rsidR="003B6C3D" w:rsidRDefault="003B6C3D" w:rsidP="00E76EDE">
      <w:pPr>
        <w:tabs>
          <w:tab w:val="left" w:pos="6600"/>
        </w:tabs>
        <w:spacing w:after="0" w:line="276" w:lineRule="auto"/>
        <w:ind w:firstLine="567"/>
        <w:jc w:val="both"/>
        <w:rPr>
          <w:rFonts w:ascii="Times New Roman" w:hAnsi="Times New Roman" w:cs="Times New Roman"/>
        </w:rPr>
      </w:pPr>
      <w:r w:rsidRPr="004574FB">
        <w:rPr>
          <w:rFonts w:ascii="Times New Roman" w:hAnsi="Times New Roman" w:cs="Times New Roman"/>
        </w:rPr>
        <w:t xml:space="preserve">Метою моделювання податково-боргової компоненти фінансової безпеки держави є перевірка гіпотези щодо впливу податкового боргу на фінансову безпеку держави через окремі, чутливі до нього, її складові, а також сформулювати висновки щодо можливості відстеження реакцій  індикаторів на кризові перетворення.  </w:t>
      </w:r>
      <w:r w:rsidR="003D4725">
        <w:rPr>
          <w:rFonts w:ascii="Times New Roman" w:hAnsi="Times New Roman" w:cs="Times New Roman"/>
        </w:rPr>
        <w:t xml:space="preserve"> Отож, другим етапом розробленої методики буде власне процес моделювання (рис. 4)</w:t>
      </w:r>
      <w:r w:rsidR="006E61E7">
        <w:rPr>
          <w:rFonts w:ascii="Times New Roman" w:hAnsi="Times New Roman" w:cs="Times New Roman"/>
        </w:rPr>
        <w:t>.</w:t>
      </w:r>
    </w:p>
    <w:p w:rsidR="000F1CB1" w:rsidRDefault="000F1CB1" w:rsidP="000F1CB1">
      <w:pPr>
        <w:spacing w:after="0" w:line="276" w:lineRule="auto"/>
        <w:ind w:firstLine="720"/>
        <w:jc w:val="both"/>
        <w:rPr>
          <w:rFonts w:ascii="Times New Roman" w:hAnsi="Times New Roman" w:cs="Times New Roman"/>
        </w:rPr>
      </w:pPr>
      <w:r w:rsidRPr="00C565B6">
        <w:rPr>
          <w:rFonts w:ascii="Times New Roman" w:eastAsia="Times New Roman" w:hAnsi="Times New Roman" w:cs="Times New Roman"/>
          <w:lang w:eastAsia="uk-UA"/>
        </w:rPr>
        <w:t> </w:t>
      </w:r>
      <w:r w:rsidRPr="004574FB">
        <w:rPr>
          <w:rFonts w:ascii="Times New Roman" w:hAnsi="Times New Roman" w:cs="Times New Roman"/>
        </w:rPr>
        <w:t>Слід зазначити, що у задачі моделювання показників фінансово-економічної безпеки немає лінійного зв’</w:t>
      </w:r>
      <w:r>
        <w:rPr>
          <w:rFonts w:ascii="Times New Roman" w:hAnsi="Times New Roman" w:cs="Times New Roman"/>
        </w:rPr>
        <w:t xml:space="preserve">язку між індикаторами фінансової безпеки </w:t>
      </w:r>
      <w:r w:rsidRPr="004574FB">
        <w:rPr>
          <w:rFonts w:ascii="Times New Roman" w:hAnsi="Times New Roman" w:cs="Times New Roman"/>
        </w:rPr>
        <w:t>та чинником, що на них впливає, - податковим боргом. Оскільки вказана задача відноситься до економічних задач, де мають місце процеси із глибокою нестабільністю, прості лінійно-регресійні моделі для відображення таких процесів є непридатними. В той же час, в результаті аналізу вибірки дани</w:t>
      </w:r>
      <w:r>
        <w:rPr>
          <w:rFonts w:ascii="Times New Roman" w:hAnsi="Times New Roman" w:cs="Times New Roman"/>
        </w:rPr>
        <w:t>х для моделювання показників фінансової безпеки</w:t>
      </w:r>
      <w:r w:rsidRPr="004574FB">
        <w:rPr>
          <w:rFonts w:ascii="Times New Roman" w:hAnsi="Times New Roman" w:cs="Times New Roman"/>
        </w:rPr>
        <w:t xml:space="preserve"> видно, що вона є неоднорідною. За таких умов для розв’язування вищезазначеної задачі доцільно застосувати складніший математичний апарат, зокрема, як показують дослідження -  штучні нейронні мережі. </w:t>
      </w:r>
    </w:p>
    <w:p w:rsidR="000F1CB1" w:rsidRPr="004574FB" w:rsidRDefault="000F1CB1" w:rsidP="000F1CB1">
      <w:pPr>
        <w:spacing w:after="0" w:line="276" w:lineRule="auto"/>
        <w:ind w:firstLine="720"/>
        <w:jc w:val="both"/>
        <w:rPr>
          <w:rFonts w:ascii="Times New Roman" w:hAnsi="Times New Roman" w:cs="Times New Roman"/>
        </w:rPr>
      </w:pPr>
      <w:r w:rsidRPr="004574FB">
        <w:rPr>
          <w:rFonts w:ascii="Times New Roman" w:hAnsi="Times New Roman" w:cs="Times New Roman"/>
        </w:rPr>
        <w:t>Як свідчать проаналізовані праці</w:t>
      </w:r>
      <w:r>
        <w:rPr>
          <w:rFonts w:ascii="Times New Roman" w:hAnsi="Times New Roman" w:cs="Times New Roman"/>
        </w:rPr>
        <w:t>,</w:t>
      </w:r>
      <w:r w:rsidRPr="004574FB">
        <w:rPr>
          <w:rFonts w:ascii="Times New Roman" w:hAnsi="Times New Roman" w:cs="Times New Roman"/>
        </w:rPr>
        <w:t xml:space="preserve"> штучні нейронні мережі персептронного типу відіграють велику роль при ідентифікації нелінійних систем, апроксимації функцій, </w:t>
      </w:r>
      <w:r w:rsidRPr="004574FB">
        <w:rPr>
          <w:rFonts w:ascii="Times New Roman" w:hAnsi="Times New Roman" w:cs="Times New Roman"/>
        </w:rPr>
        <w:lastRenderedPageBreak/>
        <w:t xml:space="preserve">розпізнаванні образів, прогнозуванні, кластеризації, проте вони відзначаються </w:t>
      </w:r>
      <w:r w:rsidR="00CA02DE">
        <w:rPr>
          <w:rFonts w:ascii="Times New Roman" w:hAnsi="Times New Roman" w:cs="Times New Roman"/>
        </w:rPr>
        <w:t>суттєвими недоліками, зокрема [4</w:t>
      </w:r>
      <w:r w:rsidRPr="004574FB">
        <w:rPr>
          <w:rFonts w:ascii="Times New Roman" w:hAnsi="Times New Roman" w:cs="Times New Roman"/>
        </w:rPr>
        <w:t>]:</w:t>
      </w:r>
    </w:p>
    <w:p w:rsidR="00F91A4A" w:rsidRPr="00F91A4A" w:rsidRDefault="000F1CB1" w:rsidP="00F91A4A">
      <w:pPr>
        <w:pStyle w:val="ListParagraph"/>
        <w:numPr>
          <w:ilvl w:val="0"/>
          <w:numId w:val="2"/>
        </w:numPr>
        <w:spacing w:after="0"/>
        <w:ind w:left="0" w:firstLine="567"/>
        <w:rPr>
          <w:rFonts w:ascii="Times New Roman" w:hAnsi="Times New Roman" w:cs="Times New Roman"/>
        </w:rPr>
      </w:pPr>
      <w:r w:rsidRPr="00F91A4A">
        <w:rPr>
          <w:rFonts w:ascii="Times New Roman" w:hAnsi="Times New Roman" w:cs="Times New Roman"/>
        </w:rPr>
        <w:t>громіздкість структури мережі</w:t>
      </w:r>
      <w:r w:rsidR="00F91A4A">
        <w:rPr>
          <w:rFonts w:ascii="Times New Roman" w:hAnsi="Times New Roman" w:cs="Times New Roman"/>
          <w:lang w:val="uk-UA"/>
        </w:rPr>
        <w:t>;</w:t>
      </w:r>
    </w:p>
    <w:p w:rsidR="00F91A4A" w:rsidRPr="00F91A4A" w:rsidRDefault="000F1CB1" w:rsidP="00F91A4A">
      <w:pPr>
        <w:pStyle w:val="ListParagraph"/>
        <w:numPr>
          <w:ilvl w:val="0"/>
          <w:numId w:val="2"/>
        </w:numPr>
        <w:spacing w:after="0"/>
        <w:ind w:left="0" w:firstLine="567"/>
        <w:rPr>
          <w:rFonts w:ascii="Times New Roman" w:hAnsi="Times New Roman" w:cs="Times New Roman"/>
        </w:rPr>
      </w:pPr>
      <w:r w:rsidRPr="00F91A4A">
        <w:rPr>
          <w:rFonts w:ascii="Times New Roman" w:hAnsi="Times New Roman" w:cs="Times New Roman"/>
        </w:rPr>
        <w:t>складність ідентифікації структури мережі;</w:t>
      </w:r>
    </w:p>
    <w:p w:rsidR="00F91A4A" w:rsidRPr="00F91A4A" w:rsidRDefault="000F1CB1" w:rsidP="00F91A4A">
      <w:pPr>
        <w:pStyle w:val="ListParagraph"/>
        <w:numPr>
          <w:ilvl w:val="0"/>
          <w:numId w:val="2"/>
        </w:numPr>
        <w:spacing w:after="0"/>
        <w:ind w:left="0" w:firstLine="567"/>
        <w:rPr>
          <w:rFonts w:ascii="Times New Roman" w:hAnsi="Times New Roman" w:cs="Times New Roman"/>
        </w:rPr>
      </w:pPr>
      <w:r w:rsidRPr="00F91A4A">
        <w:rPr>
          <w:rFonts w:ascii="Times New Roman" w:hAnsi="Times New Roman" w:cs="Times New Roman"/>
        </w:rPr>
        <w:t>низька швидкість навчання мережі;</w:t>
      </w:r>
    </w:p>
    <w:p w:rsidR="00F91A4A" w:rsidRPr="00F91A4A" w:rsidRDefault="000F1CB1" w:rsidP="00F91A4A">
      <w:pPr>
        <w:pStyle w:val="ListParagraph"/>
        <w:numPr>
          <w:ilvl w:val="0"/>
          <w:numId w:val="2"/>
        </w:numPr>
        <w:spacing w:after="0"/>
        <w:ind w:left="0" w:firstLine="567"/>
        <w:rPr>
          <w:rFonts w:ascii="Times New Roman" w:hAnsi="Times New Roman" w:cs="Times New Roman"/>
        </w:rPr>
      </w:pPr>
      <w:r w:rsidRPr="00F91A4A">
        <w:rPr>
          <w:rFonts w:ascii="Times New Roman" w:hAnsi="Times New Roman" w:cs="Times New Roman"/>
        </w:rPr>
        <w:t>низькі прогностичні властивості;</w:t>
      </w:r>
    </w:p>
    <w:p w:rsidR="000F1CB1" w:rsidRPr="00F91A4A" w:rsidRDefault="000F1CB1" w:rsidP="00F91A4A">
      <w:pPr>
        <w:pStyle w:val="ListParagraph"/>
        <w:numPr>
          <w:ilvl w:val="0"/>
          <w:numId w:val="2"/>
        </w:numPr>
        <w:spacing w:after="0"/>
        <w:ind w:left="0" w:firstLine="567"/>
        <w:rPr>
          <w:rFonts w:ascii="Times New Roman" w:hAnsi="Times New Roman" w:cs="Times New Roman"/>
        </w:rPr>
      </w:pPr>
      <w:r w:rsidRPr="00F91A4A">
        <w:rPr>
          <w:rFonts w:ascii="Times New Roman" w:hAnsi="Times New Roman" w:cs="Times New Roman"/>
        </w:rPr>
        <w:t>неможливість навчання на неоднорідній вибірці даних.</w:t>
      </w:r>
    </w:p>
    <w:p w:rsidR="000F1CB1" w:rsidRPr="004574FB" w:rsidRDefault="000F1CB1" w:rsidP="00E76EDE">
      <w:pPr>
        <w:tabs>
          <w:tab w:val="left" w:pos="6600"/>
        </w:tabs>
        <w:spacing w:after="0" w:line="276" w:lineRule="auto"/>
        <w:ind w:firstLine="567"/>
        <w:jc w:val="both"/>
        <w:rPr>
          <w:rFonts w:ascii="Times New Roman" w:hAnsi="Times New Roman" w:cs="Times New Roman"/>
        </w:rPr>
      </w:pPr>
    </w:p>
    <w:p w:rsidR="003B6C3D" w:rsidRPr="004574FB" w:rsidRDefault="004154F5" w:rsidP="004574FB">
      <w:pPr>
        <w:pStyle w:val="BodyTextIndent2"/>
        <w:spacing w:line="276" w:lineRule="auto"/>
        <w:ind w:left="-284" w:firstLine="710"/>
        <w:rPr>
          <w:rFonts w:eastAsia="Calibri"/>
          <w:sz w:val="22"/>
          <w:szCs w:val="22"/>
          <w:lang w:eastAsia="en-US"/>
        </w:rPr>
      </w:pPr>
      <w:r>
        <w:rPr>
          <w:rFonts w:eastAsia="Calibri"/>
          <w:noProof/>
          <w:sz w:val="22"/>
          <w:szCs w:val="22"/>
        </w:rPr>
        <w:pict>
          <v:group id="_x0000_s1190" style="position:absolute;left:0;text-align:left;margin-left:107.6pt;margin-top:1.4pt;width:190.5pt;height:43.65pt;z-index:251664384" coordorigin="3570,3852" coordsize="3810,873">
            <v:shape id="_x0000_s1028" type="#_x0000_t32" style="position:absolute;left:5489;top:4392;width:1;height:333" o:connectortype="straight">
              <v:stroke endarrow="block"/>
            </v:shape>
            <v:rect id="_x0000_s1029" style="position:absolute;left:3570;top:3852;width:3810;height:540">
              <v:shadow on="t" opacity=".5" offset="6pt,-6pt"/>
              <v:textbox style="mso-next-textbox:#_x0000_s1029">
                <w:txbxContent>
                  <w:p w:rsidR="00702F86" w:rsidRPr="0052751F" w:rsidRDefault="00702F86" w:rsidP="003B6C3D">
                    <w:pPr>
                      <w:jc w:val="center"/>
                      <w:rPr>
                        <w:b/>
                      </w:rPr>
                    </w:pPr>
                    <w:r w:rsidRPr="0052751F">
                      <w:rPr>
                        <w:b/>
                      </w:rPr>
                      <w:t>І</w:t>
                    </w:r>
                    <w:r>
                      <w:rPr>
                        <w:b/>
                      </w:rPr>
                      <w:t>І. Оціночна стадія</w:t>
                    </w:r>
                  </w:p>
                </w:txbxContent>
              </v:textbox>
            </v:rect>
          </v:group>
        </w:pict>
      </w:r>
    </w:p>
    <w:p w:rsidR="000F1CB1" w:rsidRDefault="000F1CB1" w:rsidP="004574FB">
      <w:pPr>
        <w:pStyle w:val="BodyTextIndent2"/>
        <w:spacing w:line="276" w:lineRule="auto"/>
        <w:ind w:left="-284" w:firstLine="710"/>
        <w:rPr>
          <w:rFonts w:eastAsia="Calibri"/>
          <w:sz w:val="22"/>
          <w:szCs w:val="22"/>
          <w:lang w:eastAsia="en-US"/>
        </w:rPr>
      </w:pPr>
    </w:p>
    <w:p w:rsidR="003B6C3D" w:rsidRPr="004574FB" w:rsidRDefault="003B6C3D" w:rsidP="000F1CB1">
      <w:pPr>
        <w:pStyle w:val="BodyTextIndent2"/>
        <w:spacing w:line="276" w:lineRule="auto"/>
        <w:ind w:firstLine="0"/>
        <w:rPr>
          <w:rFonts w:eastAsia="Calibri"/>
          <w:sz w:val="22"/>
          <w:szCs w:val="22"/>
          <w:lang w:eastAsia="en-US"/>
        </w:rPr>
      </w:pPr>
    </w:p>
    <w:p w:rsidR="003B6C3D" w:rsidRPr="004574FB" w:rsidRDefault="003B6C3D" w:rsidP="004574FB">
      <w:pPr>
        <w:spacing w:after="0" w:line="276" w:lineRule="auto"/>
        <w:ind w:left="-567"/>
        <w:jc w:val="both"/>
        <w:rPr>
          <w:rFonts w:ascii="Times New Roman" w:hAnsi="Times New Roman" w:cs="Times New Roman"/>
          <w:b/>
        </w:rPr>
      </w:pPr>
      <w:r w:rsidRPr="004574FB">
        <w:rPr>
          <w:rFonts w:ascii="Times New Roman" w:hAnsi="Times New Roman" w:cs="Times New Roman"/>
          <w:b/>
          <w:noProof/>
          <w:lang w:eastAsia="uk-UA"/>
        </w:rPr>
        <w:drawing>
          <wp:inline distT="0" distB="0" distL="0" distR="0">
            <wp:extent cx="6191250" cy="1571625"/>
            <wp:effectExtent l="57150" t="19050" r="38100" b="0"/>
            <wp:docPr id="18"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F1CB1" w:rsidRPr="00702F3D" w:rsidRDefault="000F1CB1" w:rsidP="000F1CB1">
      <w:pPr>
        <w:spacing w:after="0" w:line="276" w:lineRule="auto"/>
        <w:ind w:firstLine="567"/>
        <w:jc w:val="both"/>
        <w:rPr>
          <w:rFonts w:ascii="Times New Roman" w:hAnsi="Times New Roman" w:cs="Times New Roman"/>
        </w:rPr>
      </w:pPr>
      <w:r>
        <w:rPr>
          <w:rFonts w:ascii="Times New Roman" w:hAnsi="Times New Roman" w:cs="Times New Roman"/>
        </w:rPr>
        <w:t>Рис 4.</w:t>
      </w:r>
      <w:r w:rsidRPr="000F1CB1">
        <w:rPr>
          <w:rFonts w:ascii="Times New Roman" w:hAnsi="Times New Roman" w:cs="Times New Roman"/>
        </w:rPr>
        <w:t xml:space="preserve"> </w:t>
      </w:r>
      <w:r w:rsidR="00F91A4A">
        <w:rPr>
          <w:rFonts w:ascii="Times New Roman" w:hAnsi="Times New Roman" w:cs="Times New Roman"/>
        </w:rPr>
        <w:t>Другий</w:t>
      </w:r>
      <w:r w:rsidRPr="00702F3D">
        <w:rPr>
          <w:rFonts w:ascii="Times New Roman" w:hAnsi="Times New Roman" w:cs="Times New Roman"/>
        </w:rPr>
        <w:t xml:space="preserve"> етап алгоритму методики оцінки податкового боргу як чинника фінансової безпеки держави</w:t>
      </w:r>
    </w:p>
    <w:p w:rsidR="000F1CB1" w:rsidRPr="004574FB" w:rsidRDefault="000F1CB1" w:rsidP="000F1CB1">
      <w:pPr>
        <w:spacing w:after="0" w:line="276" w:lineRule="auto"/>
        <w:ind w:firstLine="567"/>
        <w:jc w:val="both"/>
        <w:rPr>
          <w:rFonts w:ascii="Times New Roman" w:hAnsi="Times New Roman" w:cs="Times New Roman"/>
        </w:rPr>
      </w:pPr>
      <w:r w:rsidRPr="004574FB">
        <w:rPr>
          <w:rFonts w:ascii="Times New Roman" w:hAnsi="Times New Roman" w:cs="Times New Roman"/>
        </w:rPr>
        <w:t>Джерело: складено автором</w:t>
      </w:r>
    </w:p>
    <w:p w:rsidR="00E7708B" w:rsidRPr="004574FB" w:rsidRDefault="00F91A4A" w:rsidP="00F91A4A">
      <w:pPr>
        <w:spacing w:after="0" w:line="276" w:lineRule="auto"/>
        <w:ind w:firstLine="567"/>
        <w:jc w:val="both"/>
        <w:rPr>
          <w:rFonts w:ascii="Times New Roman" w:hAnsi="Times New Roman" w:cs="Times New Roman"/>
        </w:rPr>
      </w:pPr>
      <w:r>
        <w:rPr>
          <w:rFonts w:ascii="Times New Roman" w:hAnsi="Times New Roman" w:cs="Times New Roman"/>
        </w:rPr>
        <w:t>С</w:t>
      </w:r>
      <w:r w:rsidR="00F642EE" w:rsidRPr="004574FB">
        <w:rPr>
          <w:rFonts w:ascii="Times New Roman" w:hAnsi="Times New Roman" w:cs="Times New Roman"/>
        </w:rPr>
        <w:t>ьогодні широкого застосування набувають штучні нейронні мережі з радіально-базисними функціями (ШНМ з РБФ).</w:t>
      </w:r>
      <w:r w:rsidR="00E7708B" w:rsidRPr="004574FB">
        <w:rPr>
          <w:rFonts w:ascii="Times New Roman" w:hAnsi="Times New Roman" w:cs="Times New Roman"/>
        </w:rPr>
        <w:t xml:space="preserve"> ШНМ з РБФ на противагу штучним нейронним мережам персептронного типу відзн</w:t>
      </w:r>
      <w:r w:rsidR="00CA02DE">
        <w:rPr>
          <w:rFonts w:ascii="Times New Roman" w:hAnsi="Times New Roman" w:cs="Times New Roman"/>
        </w:rPr>
        <w:t>ачаються суттєвими перевагами [4</w:t>
      </w:r>
      <w:r w:rsidR="00E7708B" w:rsidRPr="004574FB">
        <w:rPr>
          <w:rFonts w:ascii="Times New Roman" w:hAnsi="Times New Roman" w:cs="Times New Roman"/>
        </w:rPr>
        <w:t>]:</w:t>
      </w:r>
    </w:p>
    <w:p w:rsidR="00E7708B" w:rsidRPr="004574FB" w:rsidRDefault="00E7708B" w:rsidP="00F91A4A">
      <w:pPr>
        <w:numPr>
          <w:ilvl w:val="0"/>
          <w:numId w:val="4"/>
        </w:numPr>
        <w:spacing w:after="0" w:line="276" w:lineRule="auto"/>
        <w:ind w:left="0" w:firstLine="567"/>
        <w:jc w:val="both"/>
        <w:rPr>
          <w:rFonts w:ascii="Times New Roman" w:hAnsi="Times New Roman" w:cs="Times New Roman"/>
        </w:rPr>
      </w:pPr>
      <w:r w:rsidRPr="004574FB">
        <w:rPr>
          <w:rFonts w:ascii="Times New Roman" w:hAnsi="Times New Roman" w:cs="Times New Roman"/>
        </w:rPr>
        <w:t>мають лише один прихований шар, що спрощує структурну ідентифікацію мережі;</w:t>
      </w:r>
    </w:p>
    <w:p w:rsidR="00E7708B" w:rsidRPr="004574FB" w:rsidRDefault="00E7708B" w:rsidP="00F91A4A">
      <w:pPr>
        <w:numPr>
          <w:ilvl w:val="0"/>
          <w:numId w:val="4"/>
        </w:numPr>
        <w:spacing w:after="0" w:line="276" w:lineRule="auto"/>
        <w:ind w:left="0" w:firstLine="567"/>
        <w:jc w:val="both"/>
        <w:rPr>
          <w:rFonts w:ascii="Times New Roman" w:hAnsi="Times New Roman" w:cs="Times New Roman"/>
        </w:rPr>
      </w:pPr>
      <w:r w:rsidRPr="004574FB">
        <w:rPr>
          <w:rFonts w:ascii="Times New Roman" w:hAnsi="Times New Roman" w:cs="Times New Roman"/>
        </w:rPr>
        <w:t>володіють високими прогностичними властивостями;</w:t>
      </w:r>
    </w:p>
    <w:p w:rsidR="00E7708B" w:rsidRPr="004574FB" w:rsidRDefault="00E7708B" w:rsidP="00F91A4A">
      <w:pPr>
        <w:numPr>
          <w:ilvl w:val="0"/>
          <w:numId w:val="4"/>
        </w:numPr>
        <w:spacing w:after="0" w:line="276" w:lineRule="auto"/>
        <w:ind w:left="0" w:firstLine="567"/>
        <w:jc w:val="both"/>
        <w:rPr>
          <w:rFonts w:ascii="Times New Roman" w:hAnsi="Times New Roman" w:cs="Times New Roman"/>
        </w:rPr>
      </w:pPr>
      <w:r w:rsidRPr="004574FB">
        <w:rPr>
          <w:rFonts w:ascii="Times New Roman" w:hAnsi="Times New Roman" w:cs="Times New Roman"/>
        </w:rPr>
        <w:t>можливістю моделювати нестаціонарні процеси</w:t>
      </w:r>
    </w:p>
    <w:p w:rsidR="00E7708B" w:rsidRPr="004574FB" w:rsidRDefault="00E7708B" w:rsidP="00F91A4A">
      <w:pPr>
        <w:numPr>
          <w:ilvl w:val="0"/>
          <w:numId w:val="4"/>
        </w:numPr>
        <w:spacing w:after="0" w:line="276" w:lineRule="auto"/>
        <w:ind w:left="0" w:firstLine="567"/>
        <w:jc w:val="both"/>
        <w:rPr>
          <w:rFonts w:ascii="Times New Roman" w:hAnsi="Times New Roman" w:cs="Times New Roman"/>
        </w:rPr>
      </w:pPr>
      <w:r w:rsidRPr="004574FB">
        <w:rPr>
          <w:rFonts w:ascii="Times New Roman" w:hAnsi="Times New Roman" w:cs="Times New Roman"/>
        </w:rPr>
        <w:t>високою швидкістю навчання;</w:t>
      </w:r>
    </w:p>
    <w:p w:rsidR="00E7708B" w:rsidRPr="004574FB" w:rsidRDefault="00E7708B" w:rsidP="00F91A4A">
      <w:pPr>
        <w:numPr>
          <w:ilvl w:val="0"/>
          <w:numId w:val="4"/>
        </w:numPr>
        <w:spacing w:after="0" w:line="276" w:lineRule="auto"/>
        <w:ind w:left="0" w:firstLine="567"/>
        <w:jc w:val="both"/>
        <w:rPr>
          <w:rFonts w:ascii="Times New Roman" w:hAnsi="Times New Roman" w:cs="Times New Roman"/>
        </w:rPr>
      </w:pPr>
      <w:r w:rsidRPr="004574FB">
        <w:rPr>
          <w:rFonts w:ascii="Times New Roman" w:hAnsi="Times New Roman" w:cs="Times New Roman"/>
        </w:rPr>
        <w:t xml:space="preserve">можливістю навчатися на неоднорідній вибірці даних </w:t>
      </w:r>
      <w:r w:rsidRPr="004574FB">
        <w:rPr>
          <w:rFonts w:ascii="Times New Roman" w:hAnsi="Times New Roman" w:cs="Times New Roman"/>
          <w:lang w:val="ru-RU"/>
        </w:rPr>
        <w:t>.</w:t>
      </w:r>
    </w:p>
    <w:p w:rsidR="00E7708B" w:rsidRPr="004574FB" w:rsidRDefault="00E7708B" w:rsidP="00F91A4A">
      <w:pPr>
        <w:spacing w:after="0" w:line="276" w:lineRule="auto"/>
        <w:ind w:firstLine="567"/>
        <w:jc w:val="both"/>
        <w:rPr>
          <w:rStyle w:val="longtext1"/>
          <w:rFonts w:ascii="Times New Roman" w:hAnsi="Times New Roman" w:cs="Times New Roman"/>
          <w:sz w:val="22"/>
          <w:szCs w:val="22"/>
          <w:shd w:val="clear" w:color="auto" w:fill="FFFFFF"/>
        </w:rPr>
      </w:pPr>
      <w:r w:rsidRPr="004574FB">
        <w:rPr>
          <w:rStyle w:val="longtext1"/>
          <w:rFonts w:ascii="Times New Roman" w:hAnsi="Times New Roman" w:cs="Times New Roman"/>
          <w:sz w:val="22"/>
          <w:szCs w:val="22"/>
          <w:shd w:val="clear" w:color="auto" w:fill="FFFFFF"/>
        </w:rPr>
        <w:t>Загальна структура ШНМ з РБФ має такий вигляд [</w:t>
      </w:r>
      <w:r w:rsidR="00CA02DE">
        <w:rPr>
          <w:rStyle w:val="longtext1"/>
          <w:rFonts w:ascii="Times New Roman" w:hAnsi="Times New Roman" w:cs="Times New Roman"/>
          <w:sz w:val="22"/>
          <w:szCs w:val="22"/>
          <w:shd w:val="clear" w:color="auto" w:fill="FFFFFF"/>
          <w:lang w:val="ru-RU"/>
        </w:rPr>
        <w:t>5</w:t>
      </w:r>
      <w:r w:rsidRPr="004574FB">
        <w:rPr>
          <w:rStyle w:val="longtext1"/>
          <w:rFonts w:ascii="Times New Roman" w:hAnsi="Times New Roman" w:cs="Times New Roman"/>
          <w:sz w:val="22"/>
          <w:szCs w:val="22"/>
          <w:shd w:val="clear" w:color="auto" w:fill="FFFFFF"/>
        </w:rPr>
        <w:t>]:</w:t>
      </w:r>
    </w:p>
    <w:p w:rsidR="00E7708B" w:rsidRPr="004574FB" w:rsidRDefault="00E7708B" w:rsidP="00F91A4A">
      <w:pPr>
        <w:spacing w:after="0" w:line="276" w:lineRule="auto"/>
        <w:ind w:firstLine="567"/>
        <w:jc w:val="both"/>
        <w:rPr>
          <w:rFonts w:ascii="Times New Roman" w:hAnsi="Times New Roman" w:cs="Times New Roman"/>
        </w:rPr>
      </w:pPr>
      <w:r w:rsidRPr="004574FB">
        <w:rPr>
          <w:rFonts w:ascii="Times New Roman" w:hAnsi="Times New Roman" w:cs="Times New Roman"/>
        </w:rPr>
        <w:t xml:space="preserve">         </w:t>
      </w:r>
      <w:r w:rsidR="00505B6E">
        <w:rPr>
          <w:rFonts w:ascii="Times New Roman" w:hAnsi="Times New Roman" w:cs="Times New Roman"/>
        </w:rPr>
        <w:t xml:space="preserve">                   </w:t>
      </w:r>
      <w:r w:rsidRPr="004574FB">
        <w:rPr>
          <w:rFonts w:ascii="Times New Roman" w:hAnsi="Times New Roman" w:cs="Times New Roman"/>
        </w:rPr>
        <w:t xml:space="preserve"> </w:t>
      </w:r>
      <w:r w:rsidRPr="004574FB">
        <w:rPr>
          <w:rFonts w:ascii="Times New Roman" w:hAnsi="Times New Roman" w:cs="Times New Roman"/>
          <w:position w:val="-28"/>
        </w:rPr>
        <w:object w:dxaOrig="3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41.25pt" o:ole="" filled="t">
            <v:fill color2="black"/>
            <v:imagedata r:id="rId20" o:title=""/>
          </v:shape>
          <o:OLEObject Type="Embed" ProgID="Equation.3" ShapeID="_x0000_i1025" DrawAspect="Content" ObjectID="_1493149014" r:id="rId21"/>
        </w:object>
      </w:r>
      <w:r w:rsidRPr="004574FB">
        <w:rPr>
          <w:rFonts w:ascii="Times New Roman" w:hAnsi="Times New Roman" w:cs="Times New Roman"/>
        </w:rPr>
        <w:t xml:space="preserve">,      </w:t>
      </w:r>
      <w:r w:rsidR="00505B6E">
        <w:rPr>
          <w:rFonts w:ascii="Times New Roman" w:hAnsi="Times New Roman" w:cs="Times New Roman"/>
        </w:rPr>
        <w:t xml:space="preserve">                          (</w:t>
      </w:r>
      <w:r w:rsidRPr="004574FB">
        <w:rPr>
          <w:rFonts w:ascii="Times New Roman" w:hAnsi="Times New Roman" w:cs="Times New Roman"/>
        </w:rPr>
        <w:t>1)</w:t>
      </w:r>
    </w:p>
    <w:p w:rsidR="00E7708B" w:rsidRPr="004574FB" w:rsidRDefault="00E7708B" w:rsidP="00F91A4A">
      <w:pPr>
        <w:spacing w:after="0" w:line="276" w:lineRule="auto"/>
        <w:ind w:firstLine="567"/>
        <w:jc w:val="both"/>
        <w:rPr>
          <w:rFonts w:ascii="Times New Roman" w:hAnsi="Times New Roman" w:cs="Times New Roman"/>
          <w:lang w:val="ru-RU"/>
        </w:rPr>
      </w:pPr>
      <w:r w:rsidRPr="004574FB">
        <w:rPr>
          <w:rStyle w:val="longtext1"/>
          <w:rFonts w:ascii="Times New Roman" w:hAnsi="Times New Roman" w:cs="Times New Roman"/>
          <w:sz w:val="22"/>
          <w:szCs w:val="22"/>
          <w:shd w:val="clear" w:color="auto" w:fill="FFFFFF"/>
        </w:rPr>
        <w:t xml:space="preserve">де </w:t>
      </w:r>
      <w:r w:rsidRPr="004574FB">
        <w:rPr>
          <w:rFonts w:ascii="Times New Roman" w:hAnsi="Times New Roman" w:cs="Times New Roman"/>
          <w:position w:val="-14"/>
        </w:rPr>
        <w:object w:dxaOrig="300" w:dyaOrig="380">
          <v:shape id="_x0000_i1026" type="#_x0000_t75" style="width:18pt;height:24pt" o:ole="" filled="t">
            <v:fill color2="black"/>
            <v:imagedata r:id="rId22" o:title=""/>
          </v:shape>
          <o:OLEObject Type="Embed" ProgID="Equation.3" ShapeID="_x0000_i1026" DrawAspect="Content" ObjectID="_1493149015" r:id="rId23"/>
        </w:object>
      </w:r>
      <w:r w:rsidRPr="004574FB">
        <w:rPr>
          <w:rFonts w:ascii="Times New Roman" w:hAnsi="Times New Roman" w:cs="Times New Roman"/>
        </w:rPr>
        <w:t xml:space="preserve"> -</w:t>
      </w:r>
      <w:r w:rsidRPr="004574FB">
        <w:rPr>
          <w:rFonts w:ascii="Times New Roman" w:hAnsi="Times New Roman" w:cs="Times New Roman"/>
          <w:i/>
          <w:iCs/>
        </w:rPr>
        <w:t xml:space="preserve"> </w:t>
      </w:r>
      <w:r w:rsidRPr="004574FB">
        <w:rPr>
          <w:rFonts w:ascii="Times New Roman" w:hAnsi="Times New Roman" w:cs="Times New Roman"/>
          <w:i/>
          <w:iCs/>
          <w:lang w:val="en-US"/>
        </w:rPr>
        <w:t>j</w:t>
      </w:r>
      <w:r w:rsidRPr="004574FB">
        <w:rPr>
          <w:rFonts w:ascii="Times New Roman" w:hAnsi="Times New Roman" w:cs="Times New Roman"/>
        </w:rPr>
        <w:t xml:space="preserve">-ий нейромережевий вихідний сигнал; </w:t>
      </w:r>
    </w:p>
    <w:p w:rsidR="00E7708B" w:rsidRPr="004574FB" w:rsidRDefault="00E7708B" w:rsidP="00F91A4A">
      <w:pPr>
        <w:spacing w:after="0" w:line="276" w:lineRule="auto"/>
        <w:ind w:firstLine="567"/>
        <w:jc w:val="both"/>
        <w:rPr>
          <w:rFonts w:ascii="Times New Roman" w:hAnsi="Times New Roman" w:cs="Times New Roman"/>
        </w:rPr>
      </w:pPr>
      <w:r w:rsidRPr="004574FB">
        <w:rPr>
          <w:rFonts w:ascii="Times New Roman" w:hAnsi="Times New Roman" w:cs="Times New Roman"/>
          <w:position w:val="-7"/>
        </w:rPr>
        <w:object w:dxaOrig="600" w:dyaOrig="380">
          <v:shape id="_x0000_i1027" type="#_x0000_t75" style="width:36pt;height:23.25pt" o:ole="" filled="t">
            <v:fill color2="black"/>
            <v:imagedata r:id="rId24" o:title=""/>
          </v:shape>
          <o:OLEObject Type="Embed" ProgID="Equation.3" ShapeID="_x0000_i1027" DrawAspect="Content" ObjectID="_1493149016" r:id="rId25"/>
        </w:object>
      </w:r>
      <w:r w:rsidRPr="004574FB">
        <w:rPr>
          <w:rFonts w:ascii="Times New Roman" w:hAnsi="Times New Roman" w:cs="Times New Roman"/>
        </w:rPr>
        <w:t xml:space="preserve">- нелінійне перетворення вхідного вектора </w:t>
      </w:r>
      <w:r w:rsidRPr="004574FB">
        <w:rPr>
          <w:rFonts w:ascii="Times New Roman" w:hAnsi="Times New Roman" w:cs="Times New Roman"/>
          <w:position w:val="-12"/>
        </w:rPr>
        <w:object w:dxaOrig="1800" w:dyaOrig="400">
          <v:shape id="_x0000_i1028" type="#_x0000_t75" style="width:108.75pt;height:23.25pt" o:ole="" filled="t">
            <v:fill color2="black"/>
            <v:imagedata r:id="rId26" o:title=""/>
          </v:shape>
          <o:OLEObject Type="Embed" ProgID="Equation.3" ShapeID="_x0000_i1028" DrawAspect="Content" ObjectID="_1493149017" r:id="rId27"/>
        </w:object>
      </w:r>
      <w:r w:rsidRPr="004574FB">
        <w:rPr>
          <w:rFonts w:ascii="Times New Roman" w:hAnsi="Times New Roman" w:cs="Times New Roman"/>
        </w:rPr>
        <w:t xml:space="preserve"> в </w:t>
      </w:r>
      <w:r w:rsidRPr="004574FB">
        <w:rPr>
          <w:rFonts w:ascii="Times New Roman" w:hAnsi="Times New Roman" w:cs="Times New Roman"/>
          <w:i/>
          <w:iCs/>
          <w:lang w:val="en-US"/>
        </w:rPr>
        <w:t>j</w:t>
      </w:r>
      <w:r w:rsidRPr="004574FB">
        <w:rPr>
          <w:rFonts w:ascii="Times New Roman" w:hAnsi="Times New Roman" w:cs="Times New Roman"/>
        </w:rPr>
        <w:t xml:space="preserve">-ий вихідний; </w:t>
      </w:r>
    </w:p>
    <w:p w:rsidR="00E7708B" w:rsidRPr="004574FB" w:rsidRDefault="00E7708B" w:rsidP="00F91A4A">
      <w:pPr>
        <w:spacing w:after="0" w:line="276" w:lineRule="auto"/>
        <w:ind w:firstLine="567"/>
        <w:jc w:val="both"/>
        <w:rPr>
          <w:rFonts w:ascii="Times New Roman" w:hAnsi="Times New Roman" w:cs="Times New Roman"/>
        </w:rPr>
      </w:pPr>
      <w:r w:rsidRPr="004574FB">
        <w:rPr>
          <w:rFonts w:ascii="Times New Roman" w:hAnsi="Times New Roman" w:cs="Times New Roman"/>
          <w:position w:val="-14"/>
        </w:rPr>
        <w:object w:dxaOrig="2260" w:dyaOrig="420">
          <v:shape id="_x0000_i1029" type="#_x0000_t75" style="width:116.25pt;height:21pt" o:ole="" filled="t">
            <v:fill color2="black"/>
            <v:imagedata r:id="rId28" o:title=""/>
          </v:shape>
          <o:OLEObject Type="Embed" ProgID="Equation.3" ShapeID="_x0000_i1029" DrawAspect="Content" ObjectID="_1493149018" r:id="rId29"/>
        </w:object>
      </w:r>
      <w:r w:rsidRPr="004574FB">
        <w:rPr>
          <w:rFonts w:ascii="Times New Roman" w:hAnsi="Times New Roman" w:cs="Times New Roman"/>
        </w:rPr>
        <w:t xml:space="preserve"> </w:t>
      </w:r>
      <w:r w:rsidRPr="004574FB">
        <w:rPr>
          <w:rFonts w:ascii="Times New Roman" w:hAnsi="Times New Roman" w:cs="Times New Roman"/>
          <w:lang w:val="ru-RU"/>
        </w:rPr>
        <w:t xml:space="preserve">- вектор, що </w:t>
      </w:r>
      <w:r w:rsidRPr="004574FB">
        <w:rPr>
          <w:rFonts w:ascii="Times New Roman" w:hAnsi="Times New Roman" w:cs="Times New Roman"/>
        </w:rPr>
        <w:t>представляє регульовані синаптичні ваги;</w:t>
      </w:r>
    </w:p>
    <w:p w:rsidR="00E7708B" w:rsidRPr="004574FB" w:rsidRDefault="00E7708B" w:rsidP="00F91A4A">
      <w:pPr>
        <w:spacing w:after="0" w:line="276" w:lineRule="auto"/>
        <w:ind w:firstLine="567"/>
        <w:jc w:val="both"/>
        <w:rPr>
          <w:rFonts w:ascii="Times New Roman" w:hAnsi="Times New Roman" w:cs="Times New Roman"/>
        </w:rPr>
      </w:pPr>
      <w:r w:rsidRPr="004574FB">
        <w:rPr>
          <w:rFonts w:ascii="Times New Roman" w:hAnsi="Times New Roman" w:cs="Times New Roman"/>
          <w:position w:val="-12"/>
        </w:rPr>
        <w:object w:dxaOrig="3040" w:dyaOrig="400">
          <v:shape id="_x0000_i1030" type="#_x0000_t75" style="width:162pt;height:21.75pt" o:ole="" filled="t">
            <v:fill color2="black"/>
            <v:imagedata r:id="rId30" o:title=""/>
          </v:shape>
          <o:OLEObject Type="Embed" ProgID="Equation.3" ShapeID="_x0000_i1030" DrawAspect="Content" ObjectID="_1493149019" r:id="rId31"/>
        </w:object>
      </w:r>
      <w:r w:rsidRPr="004574FB">
        <w:rPr>
          <w:rFonts w:ascii="Times New Roman" w:hAnsi="Times New Roman" w:cs="Times New Roman"/>
        </w:rPr>
        <w:t xml:space="preserve"> - вектор, що позначає радіально-базисну функцію;</w:t>
      </w:r>
    </w:p>
    <w:p w:rsidR="00E7708B" w:rsidRPr="004574FB" w:rsidRDefault="00E7708B" w:rsidP="00F91A4A">
      <w:pPr>
        <w:spacing w:after="0" w:line="276" w:lineRule="auto"/>
        <w:ind w:firstLine="567"/>
        <w:jc w:val="both"/>
        <w:rPr>
          <w:rFonts w:ascii="Times New Roman" w:hAnsi="Times New Roman" w:cs="Times New Roman"/>
          <w:iCs/>
        </w:rPr>
      </w:pPr>
      <w:r w:rsidRPr="004574FB">
        <w:rPr>
          <w:rFonts w:ascii="Times New Roman" w:hAnsi="Times New Roman" w:cs="Times New Roman"/>
          <w:position w:val="-10"/>
        </w:rPr>
        <w:object w:dxaOrig="920" w:dyaOrig="320">
          <v:shape id="_x0000_i1031" type="#_x0000_t75" style="width:54pt;height:18.75pt" o:ole="">
            <v:imagedata r:id="rId32" o:title=""/>
          </v:shape>
          <o:OLEObject Type="Embed" ProgID="Equation.3" ShapeID="_x0000_i1031" DrawAspect="Content" ObjectID="_1493149020" r:id="rId33"/>
        </w:object>
      </w:r>
      <w:r w:rsidRPr="004574FB">
        <w:rPr>
          <w:rFonts w:ascii="Times New Roman" w:hAnsi="Times New Roman" w:cs="Times New Roman"/>
        </w:rPr>
        <w:t xml:space="preserve">, де </w:t>
      </w:r>
      <w:r w:rsidRPr="004574FB">
        <w:rPr>
          <w:rFonts w:ascii="Times New Roman" w:hAnsi="Times New Roman" w:cs="Times New Roman"/>
          <w:i/>
        </w:rPr>
        <w:t xml:space="preserve">h – </w:t>
      </w:r>
      <w:r w:rsidRPr="004574FB">
        <w:rPr>
          <w:rFonts w:ascii="Times New Roman" w:hAnsi="Times New Roman" w:cs="Times New Roman"/>
        </w:rPr>
        <w:t>кількість нейронів прихованого рівня мережі</w:t>
      </w:r>
      <w:r w:rsidRPr="004574FB">
        <w:rPr>
          <w:rFonts w:ascii="Times New Roman" w:hAnsi="Times New Roman" w:cs="Times New Roman"/>
          <w:i/>
        </w:rPr>
        <w:t>.</w:t>
      </w:r>
    </w:p>
    <w:p w:rsidR="00E7708B" w:rsidRPr="004574FB" w:rsidRDefault="00E7708B" w:rsidP="00505B6E">
      <w:pPr>
        <w:spacing w:after="0" w:line="276" w:lineRule="auto"/>
        <w:jc w:val="both"/>
        <w:rPr>
          <w:rFonts w:ascii="Times New Roman" w:hAnsi="Times New Roman" w:cs="Times New Roman"/>
          <w:iCs/>
        </w:rPr>
      </w:pPr>
      <w:r w:rsidRPr="004574FB">
        <w:rPr>
          <w:rFonts w:ascii="Times New Roman" w:hAnsi="Times New Roman" w:cs="Times New Roman"/>
          <w:iCs/>
        </w:rPr>
        <w:t>Як радіально-базисну вбільшості застосовують функцію Гауса:</w:t>
      </w:r>
    </w:p>
    <w:p w:rsidR="00E7708B" w:rsidRPr="004574FB" w:rsidRDefault="00E7708B" w:rsidP="00F91A4A">
      <w:pPr>
        <w:spacing w:after="0" w:line="276" w:lineRule="auto"/>
        <w:ind w:firstLine="567"/>
        <w:jc w:val="both"/>
        <w:rPr>
          <w:rFonts w:ascii="Times New Roman" w:hAnsi="Times New Roman" w:cs="Times New Roman"/>
          <w:iCs/>
        </w:rPr>
      </w:pPr>
      <w:r w:rsidRPr="004574FB">
        <w:rPr>
          <w:rFonts w:ascii="Times New Roman" w:hAnsi="Times New Roman" w:cs="Times New Roman"/>
        </w:rPr>
        <w:lastRenderedPageBreak/>
        <w:t xml:space="preserve">                    </w:t>
      </w:r>
      <w:r w:rsidRPr="004574FB">
        <w:rPr>
          <w:rFonts w:ascii="Times New Roman" w:hAnsi="Times New Roman" w:cs="Times New Roman"/>
          <w:position w:val="-28"/>
        </w:rPr>
        <w:object w:dxaOrig="4700" w:dyaOrig="680">
          <v:shape id="_x0000_i1032" type="#_x0000_t75" style="width:300pt;height:43.5pt" o:ole="" filled="t">
            <v:fill color2="black"/>
            <v:imagedata r:id="rId34" o:title=""/>
          </v:shape>
          <o:OLEObject Type="Embed" ProgID="Equation.3" ShapeID="_x0000_i1032" DrawAspect="Content" ObjectID="_1493149021" r:id="rId35"/>
        </w:object>
      </w:r>
      <w:r w:rsidR="00505B6E">
        <w:rPr>
          <w:rFonts w:ascii="Times New Roman" w:hAnsi="Times New Roman" w:cs="Times New Roman"/>
        </w:rPr>
        <w:t>.            (</w:t>
      </w:r>
      <w:r w:rsidRPr="004574FB">
        <w:rPr>
          <w:rFonts w:ascii="Times New Roman" w:hAnsi="Times New Roman" w:cs="Times New Roman"/>
        </w:rPr>
        <w:t>2)</w:t>
      </w:r>
    </w:p>
    <w:p w:rsidR="00E7708B" w:rsidRPr="004574FB" w:rsidRDefault="00505B6E" w:rsidP="00505B6E">
      <w:pPr>
        <w:spacing w:after="0" w:line="276" w:lineRule="auto"/>
        <w:jc w:val="both"/>
        <w:rPr>
          <w:rStyle w:val="longtext1"/>
          <w:rFonts w:ascii="Times New Roman" w:hAnsi="Times New Roman" w:cs="Times New Roman"/>
          <w:sz w:val="22"/>
          <w:szCs w:val="22"/>
          <w:shd w:val="clear" w:color="auto" w:fill="FFFFFF"/>
        </w:rPr>
      </w:pPr>
      <w:r>
        <w:rPr>
          <w:rStyle w:val="longtext1"/>
          <w:rFonts w:ascii="Times New Roman" w:hAnsi="Times New Roman" w:cs="Times New Roman"/>
          <w:sz w:val="22"/>
          <w:szCs w:val="22"/>
          <w:shd w:val="clear" w:color="auto" w:fill="FFFFFF"/>
        </w:rPr>
        <w:t>Враховуючи (</w:t>
      </w:r>
      <w:r w:rsidR="00E7708B" w:rsidRPr="004574FB">
        <w:rPr>
          <w:rStyle w:val="longtext1"/>
          <w:rFonts w:ascii="Times New Roman" w:hAnsi="Times New Roman" w:cs="Times New Roman"/>
          <w:sz w:val="22"/>
          <w:szCs w:val="22"/>
          <w:shd w:val="clear" w:color="auto" w:fill="FFFFFF"/>
        </w:rPr>
        <w:t>2), структура ШНМ з РБФ набуде вигляду:</w:t>
      </w:r>
    </w:p>
    <w:p w:rsidR="00E7708B" w:rsidRPr="004574FB" w:rsidRDefault="00E7708B" w:rsidP="00F91A4A">
      <w:pPr>
        <w:spacing w:after="0" w:line="276" w:lineRule="auto"/>
        <w:ind w:firstLine="567"/>
        <w:jc w:val="both"/>
        <w:rPr>
          <w:rStyle w:val="longtext1"/>
          <w:rFonts w:ascii="Times New Roman" w:hAnsi="Times New Roman" w:cs="Times New Roman"/>
          <w:sz w:val="22"/>
          <w:szCs w:val="22"/>
          <w:shd w:val="clear" w:color="auto" w:fill="FFFFFF"/>
        </w:rPr>
      </w:pPr>
      <w:r w:rsidRPr="004574FB">
        <w:rPr>
          <w:rFonts w:ascii="Times New Roman" w:hAnsi="Times New Roman" w:cs="Times New Roman"/>
        </w:rPr>
        <w:t xml:space="preserve">                  </w:t>
      </w:r>
      <w:r w:rsidRPr="004574FB">
        <w:rPr>
          <w:rFonts w:ascii="Times New Roman" w:hAnsi="Times New Roman" w:cs="Times New Roman"/>
          <w:position w:val="-28"/>
        </w:rPr>
        <w:object w:dxaOrig="5840" w:dyaOrig="680">
          <v:shape id="_x0000_i1033" type="#_x0000_t75" style="width:298.5pt;height:42.75pt" o:ole="">
            <v:imagedata r:id="rId36" o:title=""/>
          </v:shape>
          <o:OLEObject Type="Embed" ProgID="Equation.3" ShapeID="_x0000_i1033" DrawAspect="Content" ObjectID="_1493149022" r:id="rId37"/>
        </w:object>
      </w:r>
      <w:r w:rsidR="00505B6E">
        <w:rPr>
          <w:rFonts w:ascii="Times New Roman" w:hAnsi="Times New Roman" w:cs="Times New Roman"/>
        </w:rPr>
        <w:t xml:space="preserve">                (</w:t>
      </w:r>
      <w:r w:rsidRPr="004574FB">
        <w:rPr>
          <w:rFonts w:ascii="Times New Roman" w:hAnsi="Times New Roman" w:cs="Times New Roman"/>
        </w:rPr>
        <w:t>3)</w:t>
      </w:r>
    </w:p>
    <w:p w:rsidR="00E7708B" w:rsidRPr="004574FB" w:rsidRDefault="00E7708B" w:rsidP="00505B6E">
      <w:pPr>
        <w:spacing w:after="0" w:line="276" w:lineRule="auto"/>
        <w:ind w:firstLine="567"/>
        <w:jc w:val="both"/>
        <w:rPr>
          <w:rFonts w:ascii="Times New Roman" w:hAnsi="Times New Roman" w:cs="Times New Roman"/>
        </w:rPr>
      </w:pPr>
      <w:r w:rsidRPr="004574FB">
        <w:rPr>
          <w:rFonts w:ascii="Times New Roman" w:hAnsi="Times New Roman" w:cs="Times New Roman"/>
        </w:rPr>
        <w:t xml:space="preserve">Зважаючи на вищезазначене, для моделювання показників фінансово-економічної безпеки найдоцільніше застосувати апарат штучних нейронних мереж з радіально-базисними функціями. </w:t>
      </w:r>
    </w:p>
    <w:p w:rsidR="00E7708B" w:rsidRPr="004574FB" w:rsidRDefault="00E7708B" w:rsidP="00505B6E">
      <w:pPr>
        <w:spacing w:after="0" w:line="276" w:lineRule="auto"/>
        <w:ind w:firstLine="567"/>
        <w:jc w:val="both"/>
        <w:rPr>
          <w:rFonts w:ascii="Times New Roman" w:hAnsi="Times New Roman" w:cs="Times New Roman"/>
        </w:rPr>
      </w:pPr>
      <w:r w:rsidRPr="004574FB">
        <w:rPr>
          <w:rFonts w:ascii="Times New Roman" w:hAnsi="Times New Roman" w:cs="Times New Roman"/>
        </w:rPr>
        <w:t xml:space="preserve">Враховуючи експериментальні дані, наведені у таблиці 3.1, позначимо за </w:t>
      </w:r>
      <w:r w:rsidRPr="004574FB">
        <w:rPr>
          <w:rFonts w:ascii="Times New Roman" w:hAnsi="Times New Roman" w:cs="Times New Roman"/>
          <w:b/>
          <w:position w:val="-6"/>
        </w:rPr>
        <w:object w:dxaOrig="200" w:dyaOrig="279">
          <v:shape id="_x0000_i1034" type="#_x0000_t75" style="width:14.25pt;height:18.75pt" o:ole="">
            <v:imagedata r:id="rId38" o:title=""/>
          </v:shape>
          <o:OLEObject Type="Embed" ProgID="Equation.3" ShapeID="_x0000_i1034" DrawAspect="Content" ObjectID="_1493149023" r:id="rId39"/>
        </w:object>
      </w:r>
      <w:r w:rsidRPr="004574FB">
        <w:rPr>
          <w:rFonts w:ascii="Times New Roman" w:hAnsi="Times New Roman" w:cs="Times New Roman"/>
          <w:b/>
        </w:rPr>
        <w:t xml:space="preserve"> - </w:t>
      </w:r>
      <w:r w:rsidRPr="004574FB">
        <w:rPr>
          <w:rFonts w:ascii="Times New Roman" w:hAnsi="Times New Roman" w:cs="Times New Roman"/>
        </w:rPr>
        <w:t xml:space="preserve">чинник, що впливає на ІЕБ, як “вхід” ШНМ із РБФ, а </w:t>
      </w:r>
      <w:r w:rsidRPr="004574FB">
        <w:rPr>
          <w:rFonts w:ascii="Times New Roman" w:hAnsi="Times New Roman" w:cs="Times New Roman"/>
          <w:i/>
          <w:iCs/>
          <w:position w:val="-14"/>
        </w:rPr>
        <w:object w:dxaOrig="300" w:dyaOrig="380">
          <v:shape id="_x0000_i1035" type="#_x0000_t75" style="width:19.5pt;height:24pt" o:ole="">
            <v:imagedata r:id="rId40" o:title=""/>
          </v:shape>
          <o:OLEObject Type="Embed" ProgID="Equation.3" ShapeID="_x0000_i1035" DrawAspect="Content" ObjectID="_1493149024" r:id="rId41"/>
        </w:object>
      </w:r>
      <w:r w:rsidRPr="004574FB">
        <w:rPr>
          <w:rFonts w:ascii="Times New Roman" w:hAnsi="Times New Roman" w:cs="Times New Roman"/>
          <w:i/>
          <w:iCs/>
        </w:rPr>
        <w:t>(k)</w:t>
      </w:r>
      <w:r w:rsidRPr="004574FB">
        <w:rPr>
          <w:rFonts w:ascii="Times New Roman" w:hAnsi="Times New Roman" w:cs="Times New Roman"/>
        </w:rPr>
        <w:t xml:space="preserve"> – показники фінансово-економічної безпеки, як вихідний нейромережевий сигнал, </w:t>
      </w:r>
      <w:r w:rsidRPr="004574FB">
        <w:rPr>
          <w:rFonts w:ascii="Times New Roman" w:hAnsi="Times New Roman" w:cs="Times New Roman"/>
          <w:i/>
          <w:iCs/>
        </w:rPr>
        <w:t>j</w:t>
      </w:r>
      <w:r w:rsidRPr="004574FB">
        <w:rPr>
          <w:rFonts w:ascii="Times New Roman" w:hAnsi="Times New Roman" w:cs="Times New Roman"/>
        </w:rPr>
        <w:t xml:space="preserve"> = 1…11 – кількість показників фінансово-економічної безпеки, </w:t>
      </w:r>
      <w:r w:rsidRPr="004574FB">
        <w:rPr>
          <w:rFonts w:ascii="Times New Roman" w:hAnsi="Times New Roman" w:cs="Times New Roman"/>
          <w:i/>
          <w:iCs/>
        </w:rPr>
        <w:t>k</w:t>
      </w:r>
      <w:r w:rsidRPr="004574FB">
        <w:rPr>
          <w:rFonts w:ascii="Times New Roman" w:hAnsi="Times New Roman" w:cs="Times New Roman"/>
        </w:rPr>
        <w:t>=1…120 – часова дискрета (кількість місяців з 2004 по 2013 роки). Аналізуючи вхідні та вихідні експериментальні дані видно, що деякі показники вимірюються у гривнях, а інші у відсотках. Для ефективного моделювання на основі експериментальних даних, доцільно провести нормування показників ФЕБ.</w:t>
      </w:r>
    </w:p>
    <w:p w:rsidR="00E44BB2" w:rsidRDefault="004154F5" w:rsidP="00505B6E">
      <w:pPr>
        <w:spacing w:after="0" w:line="276" w:lineRule="auto"/>
        <w:ind w:firstLine="567"/>
        <w:jc w:val="both"/>
        <w:rPr>
          <w:rFonts w:ascii="Times New Roman" w:hAnsi="Times New Roman" w:cs="Times New Roman"/>
        </w:rPr>
      </w:pPr>
      <w:r>
        <w:rPr>
          <w:rFonts w:ascii="Times New Roman" w:hAnsi="Times New Roman" w:cs="Times New Roman"/>
          <w:noProof/>
          <w:lang w:eastAsia="uk-UA"/>
        </w:rPr>
        <w:pict>
          <v:group id="_x0000_s1093" editas="canvas" style="position:absolute;margin-left:-33.55pt;margin-top:10.95pt;width:463.65pt;height:5in;z-index:251666432;mso-position-horizontal-relative:char;mso-position-vertical-relative:line" coordorigin="2139,3502" coordsize="7274,5573">
            <o:lock v:ext="edit" aspectratio="t"/>
            <v:shape id="_x0000_s1094" type="#_x0000_t75" style="position:absolute;left:2139;top:3502;width:7274;height:5573" o:preferrelative="f">
              <v:fill o:detectmouseclick="t"/>
              <v:path o:extrusionok="t" o:connecttype="none"/>
              <o:lock v:ext="edit" text="t"/>
            </v:shape>
            <v:rect id="_x0000_s1095" style="position:absolute;left:2845;top:5731;width:282;height:276"/>
            <v:line id="_x0000_s1096" style="position:absolute" from="2422,5870" to="2846,5872">
              <v:stroke endarrow="block"/>
            </v:line>
            <v:rect id="_x0000_s1097" style="position:absolute;left:4116;top:3919;width:565;height:558">
              <v:textbox style="mso-next-textbox:#_x0000_s1097">
                <w:txbxContent>
                  <w:p w:rsidR="00702F86" w:rsidRPr="00D213E1" w:rsidRDefault="00702F86" w:rsidP="00E44BB2">
                    <w:pPr>
                      <w:rPr>
                        <w:lang w:val="en-US"/>
                      </w:rPr>
                    </w:pPr>
                    <w:proofErr w:type="gramStart"/>
                    <w:r>
                      <w:rPr>
                        <w:lang w:val="en-US"/>
                      </w:rPr>
                      <w:t>dist</w:t>
                    </w:r>
                    <w:proofErr w:type="gramEnd"/>
                  </w:p>
                </w:txbxContent>
              </v:textbox>
            </v:rect>
            <v:rect id="_x0000_s1098" style="position:absolute;left:4116;top:5174;width:565;height:558">
              <v:textbox style="mso-next-textbox:#_x0000_s1098">
                <w:txbxContent>
                  <w:p w:rsidR="00702F86" w:rsidRPr="00D213E1" w:rsidRDefault="00702F86" w:rsidP="00E44BB2">
                    <w:pPr>
                      <w:rPr>
                        <w:lang w:val="en-US"/>
                      </w:rPr>
                    </w:pPr>
                    <w:proofErr w:type="gramStart"/>
                    <w:r>
                      <w:rPr>
                        <w:lang w:val="en-US"/>
                      </w:rPr>
                      <w:t>dist</w:t>
                    </w:r>
                    <w:proofErr w:type="gramEnd"/>
                  </w:p>
                  <w:p w:rsidR="00702F86" w:rsidRDefault="00702F86" w:rsidP="00E44BB2"/>
                </w:txbxContent>
              </v:textbox>
            </v:rect>
            <v:rect id="_x0000_s1099" style="position:absolute;left:4116;top:6428;width:565;height:557">
              <v:textbox style="mso-next-textbox:#_x0000_s1099">
                <w:txbxContent>
                  <w:p w:rsidR="00702F86" w:rsidRPr="00D213E1" w:rsidRDefault="00702F86" w:rsidP="00E44BB2">
                    <w:pPr>
                      <w:rPr>
                        <w:lang w:val="en-US"/>
                      </w:rPr>
                    </w:pPr>
                    <w:proofErr w:type="gramStart"/>
                    <w:r>
                      <w:rPr>
                        <w:lang w:val="en-US"/>
                      </w:rPr>
                      <w:t>dist</w:t>
                    </w:r>
                    <w:proofErr w:type="gramEnd"/>
                  </w:p>
                  <w:p w:rsidR="00702F86" w:rsidRDefault="00702F86" w:rsidP="00E44BB2"/>
                </w:txbxContent>
              </v:textbox>
            </v:rect>
            <v:rect id="_x0000_s1100" style="position:absolute;left:4116;top:7682;width:565;height:557">
              <v:textbox style="mso-next-textbox:#_x0000_s1100">
                <w:txbxContent>
                  <w:p w:rsidR="00702F86" w:rsidRPr="00D213E1" w:rsidRDefault="00702F86" w:rsidP="00E44BB2">
                    <w:pPr>
                      <w:rPr>
                        <w:lang w:val="en-US"/>
                      </w:rPr>
                    </w:pPr>
                    <w:proofErr w:type="gramStart"/>
                    <w:r>
                      <w:rPr>
                        <w:lang w:val="en-US"/>
                      </w:rPr>
                      <w:t>dist</w:t>
                    </w:r>
                    <w:proofErr w:type="gramEnd"/>
                  </w:p>
                  <w:p w:rsidR="00702F86" w:rsidRDefault="00702F86" w:rsidP="00E44BB2"/>
                </w:txbxContent>
              </v:textbox>
            </v:rect>
            <v:line id="_x0000_s1101" style="position:absolute;flip:y" from="3128,4198" to="4116,5870">
              <v:stroke endarrow="block"/>
            </v:line>
            <v:line id="_x0000_s1102" style="position:absolute;flip:y" from="3128,5452" to="4116,5870">
              <v:stroke endarrow="block"/>
            </v:line>
            <v:line id="_x0000_s1103" style="position:absolute" from="3128,5870" to="4116,6706">
              <v:stroke endarrow="block"/>
            </v:line>
            <v:line id="_x0000_s1104" style="position:absolute" from="3128,5870" to="4116,7961">
              <v:stroke endarrow="block"/>
            </v:line>
            <v:rect id="_x0000_s1105" style="position:absolute;left:5810;top:3919;width:424;height:558"/>
            <v:rect id="_x0000_s1106" style="position:absolute;left:5810;top:5174;width:424;height:558">
              <v:textbox style="mso-next-textbox:#_x0000_s1106">
                <w:txbxContent>
                  <w:p w:rsidR="00702F86" w:rsidRPr="00254AEE" w:rsidRDefault="00702F86" w:rsidP="00E44BB2">
                    <w:r>
                      <w:rPr>
                        <w:noProof/>
                        <w:lang w:eastAsia="uk-UA"/>
                      </w:rPr>
                      <w:drawing>
                        <wp:inline distT="0" distB="0" distL="0" distR="0">
                          <wp:extent cx="196215" cy="326390"/>
                          <wp:effectExtent l="19050" t="0" r="0" b="0"/>
                          <wp:docPr id="2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2"/>
                                  <a:srcRect/>
                                  <a:stretch>
                                    <a:fillRect/>
                                  </a:stretch>
                                </pic:blipFill>
                                <pic:spPr bwMode="auto">
                                  <a:xfrm>
                                    <a:off x="0" y="0"/>
                                    <a:ext cx="196215" cy="326390"/>
                                  </a:xfrm>
                                  <a:prstGeom prst="rect">
                                    <a:avLst/>
                                  </a:prstGeom>
                                  <a:noFill/>
                                  <a:ln w="9525">
                                    <a:noFill/>
                                    <a:miter lim="800000"/>
                                    <a:headEnd/>
                                    <a:tailEnd/>
                                  </a:ln>
                                </pic:spPr>
                              </pic:pic>
                            </a:graphicData>
                          </a:graphic>
                        </wp:inline>
                      </w:drawing>
                    </w:r>
                  </w:p>
                </w:txbxContent>
              </v:textbox>
            </v:rect>
            <v:rect id="_x0000_s1107" style="position:absolute;left:5810;top:6428;width:424;height:557">
              <v:textbox style="mso-next-textbox:#_x0000_s1107">
                <w:txbxContent>
                  <w:p w:rsidR="00702F86" w:rsidRPr="00254AEE" w:rsidRDefault="00702F86" w:rsidP="00E44BB2">
                    <w:r>
                      <w:rPr>
                        <w:noProof/>
                        <w:lang w:eastAsia="uk-UA"/>
                      </w:rPr>
                      <w:drawing>
                        <wp:inline distT="0" distB="0" distL="0" distR="0">
                          <wp:extent cx="196215" cy="326390"/>
                          <wp:effectExtent l="19050" t="0" r="0" b="0"/>
                          <wp:docPr id="2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a:srcRect/>
                                  <a:stretch>
                                    <a:fillRect/>
                                  </a:stretch>
                                </pic:blipFill>
                                <pic:spPr bwMode="auto">
                                  <a:xfrm>
                                    <a:off x="0" y="0"/>
                                    <a:ext cx="196215" cy="326390"/>
                                  </a:xfrm>
                                  <a:prstGeom prst="rect">
                                    <a:avLst/>
                                  </a:prstGeom>
                                  <a:noFill/>
                                  <a:ln w="9525">
                                    <a:noFill/>
                                    <a:miter lim="800000"/>
                                    <a:headEnd/>
                                    <a:tailEnd/>
                                  </a:ln>
                                </pic:spPr>
                              </pic:pic>
                            </a:graphicData>
                          </a:graphic>
                        </wp:inline>
                      </w:drawing>
                    </w:r>
                  </w:p>
                </w:txbxContent>
              </v:textbox>
            </v:rect>
            <v:rect id="_x0000_s1108" style="position:absolute;left:5810;top:7543;width:424;height:556">
              <v:textbox style="mso-next-textbox:#_x0000_s1108">
                <w:txbxContent>
                  <w:p w:rsidR="00702F86" w:rsidRPr="00254AEE" w:rsidRDefault="00702F86" w:rsidP="00E44BB2">
                    <w:r>
                      <w:rPr>
                        <w:noProof/>
                        <w:lang w:eastAsia="uk-UA"/>
                      </w:rPr>
                      <w:drawing>
                        <wp:inline distT="0" distB="0" distL="0" distR="0">
                          <wp:extent cx="196215" cy="326390"/>
                          <wp:effectExtent l="19050" t="0" r="0" b="0"/>
                          <wp:docPr id="2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srcRect/>
                                  <a:stretch>
                                    <a:fillRect/>
                                  </a:stretch>
                                </pic:blipFill>
                                <pic:spPr bwMode="auto">
                                  <a:xfrm>
                                    <a:off x="0" y="0"/>
                                    <a:ext cx="196215" cy="326390"/>
                                  </a:xfrm>
                                  <a:prstGeom prst="rect">
                                    <a:avLst/>
                                  </a:prstGeom>
                                  <a:noFill/>
                                  <a:ln w="9525">
                                    <a:noFill/>
                                    <a:miter lim="800000"/>
                                    <a:headEnd/>
                                    <a:tailEnd/>
                                  </a:ln>
                                </pic:spPr>
                              </pic:pic>
                            </a:graphicData>
                          </a:graphic>
                        </wp:inline>
                      </w:drawing>
                    </w:r>
                  </w:p>
                </w:txbxContent>
              </v:textbox>
            </v:rect>
            <v:shape id="_x0000_s1109" style="position:absolute;left:5952;top:4059;width:141;height:279" coordsize="345,338" path="m,303hdc96,284,90,287,120,198,122,171,94,13,180,3v30,-3,60,10,90,15c286,338,185,318,345,318e" filled="f">
              <v:path arrowok="t"/>
            </v:shape>
            <v:line id="_x0000_s1110" style="position:absolute" from="4681,4198" to="5810,4198">
              <v:stroke endarrow="block"/>
            </v:line>
            <v:line id="_x0000_s1111" style="position:absolute" from="4681,5452" to="5810,5452">
              <v:stroke endarrow="block"/>
            </v:line>
            <v:line id="_x0000_s1112" style="position:absolute" from="4681,6707" to="5810,6707">
              <v:stroke endarrow="block"/>
            </v:line>
            <v:line id="_x0000_s1113" style="position:absolute" from="4681,7821" to="5810,7821">
              <v:stroke endarrow="block"/>
            </v:line>
            <v:line id="_x0000_s1114" style="position:absolute" from="5387,4338" to="5810,4338">
              <v:stroke endarrow="block"/>
            </v:line>
            <v:line id="_x0000_s1115" style="position:absolute" from="5387,5592" to="5810,5592">
              <v:stroke endarrow="block"/>
            </v:line>
            <v:line id="_x0000_s1116" style="position:absolute" from="5387,6846" to="5810,6846">
              <v:stroke endarrow="block"/>
            </v:line>
            <v:line id="_x0000_s1117" style="position:absolute" from="5387,7961" to="5810,7961">
              <v:stroke endarrow="block"/>
            </v:line>
            <v:rect id="_x0000_s1118" style="position:absolute;left:8210;top:3641;width:423;height:557"/>
            <v:rect id="_x0000_s1119" style="position:absolute;left:8210;top:4895;width:425;height:560"/>
            <v:rect id="_x0000_s1120" style="position:absolute;left:8210;top:6289;width:423;height:555"/>
            <v:rect id="_x0000_s1121" style="position:absolute;left:8210;top:7821;width:425;height:556"/>
            <v:line id="_x0000_s1122" style="position:absolute" from="8352,3920" to="8493,3921"/>
            <v:line id="_x0000_s1123" style="position:absolute" from="8352,5174" to="8493,5175"/>
            <v:line id="_x0000_s1124" style="position:absolute" from="8352,6567" to="8493,6568"/>
            <v:line id="_x0000_s1125" style="position:absolute" from="8352,8100" to="8493,8101"/>
            <v:line id="_x0000_s1126" style="position:absolute;flip:x" from="8352,3780" to="8493,4059"/>
            <v:line id="_x0000_s1127" style="position:absolute;flip:x" from="8352,5034" to="8493,5314"/>
            <v:line id="_x0000_s1128" style="position:absolute;flip:x" from="8352,6428" to="8493,6707"/>
            <v:line id="_x0000_s1129" style="position:absolute;flip:x" from="8352,7961" to="8493,8238"/>
            <v:line id="_x0000_s1130" style="position:absolute" from="8634,3920" to="8916,3921">
              <v:stroke endarrow="block"/>
            </v:line>
            <v:line id="_x0000_s1131" style="position:absolute" from="8634,5174" to="8916,5175">
              <v:stroke endarrow="block"/>
            </v:line>
            <v:line id="_x0000_s1132" style="position:absolute" from="8634,6567" to="8916,6568">
              <v:stroke endarrow="block"/>
            </v:line>
            <v:line id="_x0000_s1133" style="position:absolute" from="8634,8100" to="8916,8101">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4" type="#_x0000_t13" style="position:absolute;left:3269;top:7961;width:847;height:139"/>
            <v:shape id="_x0000_s1135" type="#_x0000_t13" style="position:absolute;left:3269;top:6846;width:847;height:139"/>
            <v:shape id="_x0000_s1136" type="#_x0000_t13" style="position:absolute;left:3269;top:5592;width:847;height:139"/>
            <v:shape id="_x0000_s1137" type="#_x0000_t13" style="position:absolute;left:3269;top:4338;width:847;height:139"/>
            <v:shapetype id="_x0000_t202" coordsize="21600,21600" o:spt="202" path="m,l,21600r21600,l21600,xe">
              <v:stroke joinstyle="miter"/>
              <v:path gradientshapeok="t" o:connecttype="rect"/>
            </v:shapetype>
            <v:shape id="_x0000_s1138" type="#_x0000_t202" style="position:absolute;left:2281;top:5452;width:533;height:484;mso-wrap-style:none" filled="f" stroked="f">
              <v:textbox style="mso-next-textbox:#_x0000_s1138;mso-fit-shape-to-text:t">
                <w:txbxContent>
                  <w:p w:rsidR="00702F86" w:rsidRPr="00AD5959" w:rsidRDefault="00702F86" w:rsidP="00E44BB2">
                    <w:pPr>
                      <w:rPr>
                        <w:lang w:val="en-US"/>
                      </w:rPr>
                    </w:pPr>
                    <w:r w:rsidRPr="00366F27">
                      <w:rPr>
                        <w:position w:val="-6"/>
                        <w:lang w:val="en-US"/>
                      </w:rPr>
                      <w:object w:dxaOrig="200" w:dyaOrig="220">
                        <v:shape id="_x0000_i1037" type="#_x0000_t75" style="width:19.5pt;height:15pt" o:ole="">
                          <v:imagedata r:id="rId43" o:title=""/>
                        </v:shape>
                        <o:OLEObject Type="Embed" ProgID="Equation.3" ShapeID="_x0000_i1037" DrawAspect="Content" ObjectID="_1493149026" r:id="rId44"/>
                      </w:object>
                    </w:r>
                  </w:p>
                </w:txbxContent>
              </v:textbox>
            </v:shape>
            <v:shape id="_x0000_s1139" type="#_x0000_t202" style="position:absolute;left:3269;top:3920;width:415;height:519;mso-wrap-style:none" stroked="f">
              <v:textbox style="mso-next-textbox:#_x0000_s1139;mso-fit-shape-to-text:t">
                <w:txbxContent>
                  <w:p w:rsidR="00702F86" w:rsidRDefault="00702F86" w:rsidP="00E44BB2">
                    <w:r w:rsidRPr="00701EF0">
                      <w:rPr>
                        <w:position w:val="-10"/>
                      </w:rPr>
                      <w:object w:dxaOrig="240" w:dyaOrig="340">
                        <v:shape id="_x0000_i1038" type="#_x0000_t75" style="width:12pt;height:17.25pt" o:ole="">
                          <v:imagedata r:id="rId45" o:title=""/>
                        </v:shape>
                        <o:OLEObject Type="Embed" ProgID="Equation.3" ShapeID="_x0000_i1038" DrawAspect="Content" ObjectID="_1493149027" r:id="rId46"/>
                      </w:object>
                    </w:r>
                  </w:p>
                </w:txbxContent>
              </v:textbox>
            </v:shape>
            <v:shape id="_x0000_s1140" type="#_x0000_t202" style="position:absolute;left:5246;top:4477;width:445;height:279;mso-wrap-style:none" stroked="f">
              <v:textbox style="mso-next-textbox:#_x0000_s1140">
                <w:txbxContent>
                  <w:p w:rsidR="00702F86" w:rsidRDefault="00702F86" w:rsidP="00E44BB2">
                    <w:r w:rsidRPr="00AD5959">
                      <w:rPr>
                        <w:position w:val="-10"/>
                      </w:rPr>
                      <w:object w:dxaOrig="279" w:dyaOrig="340">
                        <v:shape id="_x0000_i1039" type="#_x0000_t75" style="width:14.25pt;height:17.25pt" o:ole="">
                          <v:imagedata r:id="rId47" o:title=""/>
                        </v:shape>
                        <o:OLEObject Type="Embed" ProgID="Equation.3" ShapeID="_x0000_i1039" DrawAspect="Content" ObjectID="_1493149028" r:id="rId48"/>
                      </w:object>
                    </w:r>
                  </w:p>
                </w:txbxContent>
              </v:textbox>
            </v:shape>
            <v:shape id="_x0000_s1141" type="#_x0000_t202" style="position:absolute;left:5246;top:8043;width:473;height:530;mso-wrap-style:none" stroked="f">
              <v:textbox style="mso-next-textbox:#_x0000_s1141;mso-fit-shape-to-text:t">
                <w:txbxContent>
                  <w:p w:rsidR="00702F86" w:rsidRDefault="00702F86" w:rsidP="00E44BB2">
                    <w:r w:rsidRPr="007435B0">
                      <w:rPr>
                        <w:position w:val="-12"/>
                      </w:rPr>
                      <w:object w:dxaOrig="320" w:dyaOrig="360">
                        <v:shape id="_x0000_i1040" type="#_x0000_t75" style="width:15.75pt;height:18pt" o:ole="">
                          <v:imagedata r:id="rId49" o:title=""/>
                        </v:shape>
                        <o:OLEObject Type="Embed" ProgID="Equation.3" ShapeID="_x0000_i1040" DrawAspect="Content" ObjectID="_1493149029" r:id="rId50"/>
                      </w:object>
                    </w:r>
                  </w:p>
                </w:txbxContent>
              </v:textbox>
            </v:shape>
            <v:shape id="_x0000_s1142" type="#_x0000_t202" style="position:absolute;left:5810;top:7125;width:450;height:530;mso-wrap-style:none" stroked="f">
              <v:textbox style="mso-next-textbox:#_x0000_s1142;mso-fit-shape-to-text:t">
                <w:txbxContent>
                  <w:p w:rsidR="00702F86" w:rsidRDefault="00702F86" w:rsidP="00E44BB2">
                    <w:r w:rsidRPr="00701EF0">
                      <w:rPr>
                        <w:position w:val="-12"/>
                      </w:rPr>
                      <w:object w:dxaOrig="279" w:dyaOrig="360">
                        <v:shape id="_x0000_i1041" type="#_x0000_t75" style="width:14.25pt;height:18pt" o:ole="">
                          <v:imagedata r:id="rId51" o:title=""/>
                        </v:shape>
                        <o:OLEObject Type="Embed" ProgID="Equation.3" ShapeID="_x0000_i1041" DrawAspect="Content" ObjectID="_1493149030" r:id="rId52"/>
                      </w:object>
                    </w:r>
                  </w:p>
                </w:txbxContent>
              </v:textbox>
            </v:shape>
            <v:shape id="_x0000_s1143" type="#_x0000_t202" style="position:absolute;left:4116;top:4616;width:424;height:419" stroked="f">
              <v:textbox style="mso-next-textbox:#_x0000_s1143">
                <w:txbxContent>
                  <w:p w:rsidR="00702F86" w:rsidRPr="008F0B9F" w:rsidRDefault="00702F86" w:rsidP="00E44BB2">
                    <w:pPr>
                      <w:rPr>
                        <w:lang w:val="en-US"/>
                      </w:rPr>
                    </w:pPr>
                    <w:r>
                      <w:rPr>
                        <w:rFonts w:ascii="Book Antiqua" w:hAnsi="Book Antiqua"/>
                      </w:rPr>
                      <w:t>…</w:t>
                    </w:r>
                  </w:p>
                  <w:p w:rsidR="00702F86" w:rsidRDefault="00702F86" w:rsidP="00E44BB2"/>
                </w:txbxContent>
              </v:textbox>
            </v:shape>
            <v:shape id="_x0000_s1144" type="#_x0000_t202" style="position:absolute;left:4116;top:5870;width:424;height:420" stroked="f">
              <v:textbox style="mso-next-textbox:#_x0000_s1144">
                <w:txbxContent>
                  <w:p w:rsidR="00702F86" w:rsidRPr="008F0B9F" w:rsidRDefault="00702F86" w:rsidP="00E44BB2">
                    <w:pPr>
                      <w:rPr>
                        <w:lang w:val="en-US"/>
                      </w:rPr>
                    </w:pPr>
                    <w:r>
                      <w:rPr>
                        <w:rFonts w:ascii="Book Antiqua" w:hAnsi="Book Antiqua"/>
                      </w:rPr>
                      <w:t>…</w:t>
                    </w:r>
                  </w:p>
                  <w:p w:rsidR="00702F86" w:rsidRDefault="00702F86" w:rsidP="00E44BB2"/>
                </w:txbxContent>
              </v:textbox>
            </v:shape>
            <v:shape id="_x0000_s1145" type="#_x0000_t202" style="position:absolute;left:4116;top:7125;width:425;height:418" stroked="f">
              <v:textbox style="mso-next-textbox:#_x0000_s1145">
                <w:txbxContent>
                  <w:p w:rsidR="00702F86" w:rsidRPr="008F0B9F" w:rsidRDefault="00702F86" w:rsidP="00E44BB2">
                    <w:pPr>
                      <w:rPr>
                        <w:lang w:val="en-US"/>
                      </w:rPr>
                    </w:pPr>
                    <w:r>
                      <w:rPr>
                        <w:rFonts w:ascii="Book Antiqua" w:hAnsi="Book Antiqua"/>
                      </w:rPr>
                      <w:t>…</w:t>
                    </w:r>
                  </w:p>
                  <w:p w:rsidR="00702F86" w:rsidRDefault="00702F86" w:rsidP="00E44BB2"/>
                </w:txbxContent>
              </v:textbox>
            </v:shape>
            <v:shape id="_x0000_s1146" type="#_x0000_t202" style="position:absolute;left:8210;top:7125;width:423;height:418" stroked="f">
              <v:textbox style="mso-next-textbox:#_x0000_s1146">
                <w:txbxContent>
                  <w:p w:rsidR="00702F86" w:rsidRPr="008F0B9F" w:rsidRDefault="00702F86" w:rsidP="00E44BB2">
                    <w:pPr>
                      <w:rPr>
                        <w:lang w:val="en-US"/>
                      </w:rPr>
                    </w:pPr>
                    <w:r>
                      <w:rPr>
                        <w:rFonts w:ascii="Book Antiqua" w:hAnsi="Book Antiqua"/>
                      </w:rPr>
                      <w:t>…</w:t>
                    </w:r>
                  </w:p>
                  <w:p w:rsidR="00702F86" w:rsidRDefault="00702F86" w:rsidP="00E44BB2"/>
                </w:txbxContent>
              </v:textbox>
            </v:shape>
            <v:shape id="_x0000_s1147" type="#_x0000_t202" style="position:absolute;left:6799;top:4616;width:327;height:460;mso-wrap-style:none" stroked="f">
              <v:textbox style="mso-next-textbox:#_x0000_s1147;mso-fit-shape-to-text:t">
                <w:txbxContent>
                  <w:p w:rsidR="00702F86" w:rsidRDefault="00702F86" w:rsidP="00E44BB2"/>
                </w:txbxContent>
              </v:textbox>
            </v:shape>
            <v:shape id="_x0000_s1148" type="#_x0000_t202" style="position:absolute;left:6799;top:7125;width:423;height:418" stroked="f">
              <v:textbox style="mso-next-textbox:#_x0000_s1148">
                <w:txbxContent>
                  <w:p w:rsidR="00702F86" w:rsidRDefault="00702F86" w:rsidP="00E44BB2"/>
                </w:txbxContent>
              </v:textbox>
            </v:shape>
            <v:rect id="_x0000_s1149" style="position:absolute;left:7222;top:3641;width:443;height:557;mso-wrap-style:none">
              <v:textbox style="mso-next-textbox:#_x0000_s1149">
                <w:txbxContent>
                  <w:p w:rsidR="00702F86" w:rsidRDefault="00702F86" w:rsidP="00E44BB2">
                    <w:r w:rsidRPr="00110B21">
                      <w:rPr>
                        <w:position w:val="-8"/>
                      </w:rPr>
                      <w:object w:dxaOrig="260" w:dyaOrig="300">
                        <v:shape id="_x0000_i1042" type="#_x0000_t75" style="width:12.75pt;height:15pt" o:ole="">
                          <v:imagedata r:id="rId53" o:title=""/>
                        </v:shape>
                        <o:OLEObject Type="Embed" ProgID="Equation.3" ShapeID="_x0000_i1042" DrawAspect="Content" ObjectID="_1493149031" r:id="rId54"/>
                      </w:object>
                    </w:r>
                  </w:p>
                </w:txbxContent>
              </v:textbox>
            </v:rect>
            <v:rect id="_x0000_s1150" style="position:absolute;left:7222;top:7821;width:424;height:558">
              <v:textbox style="mso-next-textbox:#_x0000_s1150">
                <w:txbxContent>
                  <w:p w:rsidR="00702F86" w:rsidRPr="00787CD8" w:rsidRDefault="00702F86" w:rsidP="00E44BB2">
                    <w:r w:rsidRPr="00110B21">
                      <w:rPr>
                        <w:position w:val="-8"/>
                      </w:rPr>
                      <w:object w:dxaOrig="260" w:dyaOrig="300">
                        <v:shape id="_x0000_i1043" type="#_x0000_t75" style="width:12pt;height:13.5pt" o:ole="">
                          <v:imagedata r:id="rId55" o:title=""/>
                        </v:shape>
                        <o:OLEObject Type="Embed" ProgID="Equation.3" ShapeID="_x0000_i1043" DrawAspect="Content" ObjectID="_1493149032" r:id="rId56"/>
                      </w:object>
                    </w:r>
                  </w:p>
                </w:txbxContent>
              </v:textbox>
            </v:rect>
            <v:rect id="_x0000_s1151" style="position:absolute;left:7222;top:6289;width:424;height:557">
              <v:textbox style="mso-next-textbox:#_x0000_s1151">
                <w:txbxContent>
                  <w:p w:rsidR="00702F86" w:rsidRPr="00787CD8" w:rsidRDefault="00702F86" w:rsidP="00E44BB2">
                    <w:r w:rsidRPr="00110B21">
                      <w:rPr>
                        <w:position w:val="-8"/>
                      </w:rPr>
                      <w:object w:dxaOrig="260" w:dyaOrig="300">
                        <v:shape id="_x0000_i1044" type="#_x0000_t75" style="width:12pt;height:13.5pt" o:ole="">
                          <v:imagedata r:id="rId55" o:title=""/>
                        </v:shape>
                        <o:OLEObject Type="Embed" ProgID="Equation.3" ShapeID="_x0000_i1044" DrawAspect="Content" ObjectID="_1493149033" r:id="rId57"/>
                      </w:object>
                    </w:r>
                  </w:p>
                </w:txbxContent>
              </v:textbox>
            </v:rect>
            <v:rect id="_x0000_s1152" style="position:absolute;left:7222;top:4895;width:424;height:558">
              <v:textbox style="mso-next-textbox:#_x0000_s1152">
                <w:txbxContent>
                  <w:p w:rsidR="00702F86" w:rsidRPr="00787CD8" w:rsidRDefault="00702F86" w:rsidP="00E44BB2">
                    <w:r w:rsidRPr="00110B21">
                      <w:rPr>
                        <w:position w:val="-8"/>
                      </w:rPr>
                      <w:object w:dxaOrig="260" w:dyaOrig="300">
                        <v:shape id="_x0000_i1045" type="#_x0000_t75" style="width:12pt;height:13.5pt" o:ole="">
                          <v:imagedata r:id="rId55" o:title=""/>
                        </v:shape>
                        <o:OLEObject Type="Embed" ProgID="Equation.3" ShapeID="_x0000_i1045" DrawAspect="Content" ObjectID="_1493149034" r:id="rId58"/>
                      </w:object>
                    </w:r>
                  </w:p>
                </w:txbxContent>
              </v:textbox>
            </v:rect>
            <v:shape id="_x0000_s1153" type="#_x0000_t202" style="position:absolute;left:7222;top:7125;width:424;height:418" stroked="f">
              <v:textbox style="mso-next-textbox:#_x0000_s1153">
                <w:txbxContent>
                  <w:p w:rsidR="00702F86" w:rsidRPr="008F0B9F" w:rsidRDefault="00702F86" w:rsidP="00E44BB2">
                    <w:pPr>
                      <w:rPr>
                        <w:lang w:val="en-US"/>
                      </w:rPr>
                    </w:pPr>
                    <w:r>
                      <w:rPr>
                        <w:rFonts w:ascii="Book Antiqua" w:hAnsi="Book Antiqua"/>
                      </w:rPr>
                      <w:t>…</w:t>
                    </w:r>
                  </w:p>
                  <w:p w:rsidR="00702F86" w:rsidRDefault="00702F86" w:rsidP="00E44BB2"/>
                </w:txbxContent>
              </v:textbox>
            </v:shape>
            <v:line id="_x0000_s1154" style="position:absolute;flip:y" from="6234,3780" to="7222,4198">
              <v:stroke endarrow="block"/>
            </v:line>
            <v:line id="_x0000_s1155" style="position:absolute" from="6234,4198" to="7222,5174">
              <v:stroke endarrow="block"/>
            </v:line>
            <v:line id="_x0000_s1156" style="position:absolute" from="6234,4198" to="7222,6567">
              <v:stroke endarrow="block"/>
            </v:line>
            <v:line id="_x0000_s1157" style="position:absolute" from="6234,4198" to="7222,8100">
              <v:stroke endarrow="block"/>
            </v:line>
            <v:line id="_x0000_s1158" style="position:absolute;flip:y" from="6234,3780" to="7222,5452">
              <v:stroke endarrow="block"/>
            </v:line>
            <v:line id="_x0000_s1159" style="position:absolute;flip:y" from="6234,5174" to="7222,5452">
              <v:stroke endarrow="block"/>
            </v:line>
            <v:line id="_x0000_s1160" style="position:absolute" from="6234,5452" to="7222,6567">
              <v:stroke endarrow="block"/>
            </v:line>
            <v:line id="_x0000_s1161" style="position:absolute" from="6234,5452" to="7222,8100">
              <v:stroke endarrow="block"/>
            </v:line>
            <v:line id="_x0000_s1162" style="position:absolute;flip:y" from="6234,3780" to="7222,6707">
              <v:stroke endarrow="block"/>
            </v:line>
            <v:line id="_x0000_s1163" style="position:absolute;flip:y" from="6234,5174" to="7222,6707">
              <v:stroke endarrow="block"/>
            </v:line>
            <v:line id="_x0000_s1164" style="position:absolute;flip:y" from="6234,6567" to="7222,6707">
              <v:stroke endarrow="block"/>
            </v:line>
            <v:line id="_x0000_s1165" style="position:absolute" from="6234,6707" to="7222,8100">
              <v:stroke endarrow="block"/>
            </v:line>
            <v:line id="_x0000_s1166" style="position:absolute;flip:y" from="6234,3920" to="7222,7821">
              <v:stroke endarrow="block"/>
            </v:line>
            <v:line id="_x0000_s1167" style="position:absolute;flip:y" from="6234,5174" to="7222,7821">
              <v:stroke endarrow="block"/>
            </v:line>
            <v:line id="_x0000_s1168" style="position:absolute;flip:y" from="6234,6567" to="7222,7682">
              <v:stroke endarrow="block"/>
            </v:line>
            <v:line id="_x0000_s1169" style="position:absolute" from="6234,7821" to="7222,8100">
              <v:stroke endarrow="block"/>
            </v:line>
            <v:line id="_x0000_s1170" style="position:absolute" from="7646,3920" to="8210,3921">
              <v:stroke endarrow="block"/>
            </v:line>
            <v:line id="_x0000_s1171" style="position:absolute" from="7646,5174" to="8210,5175">
              <v:stroke endarrow="block"/>
            </v:line>
            <v:line id="_x0000_s1172" style="position:absolute" from="7646,6567" to="8210,6568">
              <v:stroke endarrow="block"/>
            </v:line>
            <v:line id="_x0000_s1173" style="position:absolute;flip:y" from="7646,8100" to="8210,8101">
              <v:stroke endarrow="block"/>
            </v:line>
            <v:shape id="_x0000_s1174" type="#_x0000_t202" style="position:absolute;left:5810;top:4616;width:426;height:418" stroked="f">
              <v:textbox style="mso-next-textbox:#_x0000_s1174">
                <w:txbxContent>
                  <w:p w:rsidR="00702F86" w:rsidRPr="008F0B9F" w:rsidRDefault="00702F86" w:rsidP="00E44BB2">
                    <w:pPr>
                      <w:rPr>
                        <w:lang w:val="en-US"/>
                      </w:rPr>
                    </w:pPr>
                    <w:r>
                      <w:rPr>
                        <w:rFonts w:ascii="Book Antiqua" w:hAnsi="Book Antiqua"/>
                      </w:rPr>
                      <w:t>…</w:t>
                    </w:r>
                  </w:p>
                  <w:p w:rsidR="00702F86" w:rsidRDefault="00702F86" w:rsidP="00E44BB2"/>
                </w:txbxContent>
              </v:textbox>
            </v:shape>
            <v:shape id="_x0000_s1175" type="#_x0000_t202" style="position:absolute;left:5810;top:5870;width:423;height:419" stroked="f">
              <v:textbox style="mso-next-textbox:#_x0000_s1175">
                <w:txbxContent>
                  <w:p w:rsidR="00702F86" w:rsidRPr="008F0B9F" w:rsidRDefault="00702F86" w:rsidP="00E44BB2">
                    <w:pPr>
                      <w:rPr>
                        <w:lang w:val="en-US"/>
                      </w:rPr>
                    </w:pPr>
                    <w:r>
                      <w:rPr>
                        <w:rFonts w:ascii="Book Antiqua" w:hAnsi="Book Antiqua"/>
                      </w:rPr>
                      <w:t>…</w:t>
                    </w:r>
                  </w:p>
                  <w:p w:rsidR="00702F86" w:rsidRDefault="00702F86" w:rsidP="00E44BB2"/>
                </w:txbxContent>
              </v:textbox>
            </v:shape>
            <v:shape id="_x0000_s1176" type="#_x0000_t202" style="position:absolute;left:6375;top:3502;width:467;height:418;mso-wrap-style:none" stroked="f">
              <v:textbox style="mso-next-textbox:#_x0000_s1176">
                <w:txbxContent>
                  <w:p w:rsidR="00702F86" w:rsidRDefault="00702F86" w:rsidP="00E44BB2">
                    <w:r w:rsidRPr="00701EF0">
                      <w:rPr>
                        <w:position w:val="-10"/>
                      </w:rPr>
                      <w:object w:dxaOrig="279" w:dyaOrig="340">
                        <v:shape id="_x0000_i1046" type="#_x0000_t75" style="width:15pt;height:19.5pt" o:ole="">
                          <v:imagedata r:id="rId59" o:title=""/>
                        </v:shape>
                        <o:OLEObject Type="Embed" ProgID="Equation.3" ShapeID="_x0000_i1046" DrawAspect="Content" ObjectID="_1493149035" r:id="rId60"/>
                      </w:object>
                    </w:r>
                  </w:p>
                </w:txbxContent>
              </v:textbox>
            </v:shape>
            <v:shape id="_x0000_s1177" type="#_x0000_t202" style="position:absolute;left:5810;top:3502;width:427;height:519;mso-wrap-style:none" stroked="f">
              <v:textbox style="mso-next-textbox:#_x0000_s1177;mso-fit-shape-to-text:t">
                <w:txbxContent>
                  <w:p w:rsidR="00702F86" w:rsidRDefault="00702F86" w:rsidP="00E44BB2">
                    <w:r w:rsidRPr="008F0B9F">
                      <w:rPr>
                        <w:position w:val="-10"/>
                      </w:rPr>
                      <w:object w:dxaOrig="260" w:dyaOrig="340">
                        <v:shape id="_x0000_i1047" type="#_x0000_t75" style="width:12.75pt;height:17.25pt" o:ole="">
                          <v:imagedata r:id="rId61" o:title=""/>
                        </v:shape>
                        <o:OLEObject Type="Embed" ProgID="Equation.3" ShapeID="_x0000_i1047" DrawAspect="Content" ObjectID="_1493149036" r:id="rId62"/>
                      </w:object>
                    </w:r>
                  </w:p>
                </w:txbxContent>
              </v:textbox>
            </v:shape>
            <v:shape id="_x0000_s1178" type="#_x0000_t202" style="position:absolute;left:3410;top:8183;width:427;height:531;mso-wrap-style:none" stroked="f">
              <v:textbox style="mso-next-textbox:#_x0000_s1178;mso-fit-shape-to-text:t">
                <w:txbxContent>
                  <w:p w:rsidR="00702F86" w:rsidRDefault="00702F86" w:rsidP="00E44BB2">
                    <w:r w:rsidRPr="00701EF0">
                      <w:rPr>
                        <w:position w:val="-12"/>
                      </w:rPr>
                      <w:object w:dxaOrig="260" w:dyaOrig="360">
                        <v:shape id="_x0000_i1048" type="#_x0000_t75" style="width:12.75pt;height:18pt" o:ole="">
                          <v:imagedata r:id="rId63" o:title=""/>
                        </v:shape>
                        <o:OLEObject Type="Embed" ProgID="Equation.3" ShapeID="_x0000_i1048" DrawAspect="Content" ObjectID="_1493149037" r:id="rId64"/>
                      </w:object>
                    </w:r>
                  </w:p>
                </w:txbxContent>
              </v:textbox>
            </v:shape>
            <v:shape id="_x0000_s1179" type="#_x0000_t202" style="position:absolute;left:6516;top:8100;width:473;height:530;mso-wrap-style:none" stroked="f">
              <v:textbox style="mso-next-textbox:#_x0000_s1179;mso-fit-shape-to-text:t">
                <w:txbxContent>
                  <w:p w:rsidR="00702F86" w:rsidRDefault="00702F86" w:rsidP="00E44BB2">
                    <w:r w:rsidRPr="00701EF0">
                      <w:rPr>
                        <w:position w:val="-12"/>
                      </w:rPr>
                      <w:object w:dxaOrig="320" w:dyaOrig="360">
                        <v:shape id="_x0000_i1049" type="#_x0000_t75" style="width:15.75pt;height:18pt" o:ole="">
                          <v:imagedata r:id="rId65" o:title=""/>
                        </v:shape>
                        <o:OLEObject Type="Embed" ProgID="Equation.3" ShapeID="_x0000_i1049" DrawAspect="Content" ObjectID="_1493149038" r:id="rId66"/>
                      </w:object>
                    </w:r>
                  </w:p>
                </w:txbxContent>
              </v:textbox>
            </v:shape>
            <v:line id="_x0000_s1180" style="position:absolute" from="3128,7821" to="3128,9075">
              <v:stroke dashstyle="dash"/>
            </v:line>
            <v:line id="_x0000_s1181" style="position:absolute;flip:y" from="6375,7961" to="6376,9075">
              <v:stroke dashstyle="dash"/>
            </v:line>
            <v:shape id="_x0000_s1182" type="#_x0000_t202" style="position:absolute;left:2281;top:8657;width:706;height:418" stroked="f">
              <v:textbox style="mso-next-textbox:#_x0000_s1182">
                <w:txbxContent>
                  <w:p w:rsidR="00702F86" w:rsidRDefault="00702F86" w:rsidP="00E44BB2">
                    <w:pPr>
                      <w:jc w:val="center"/>
                      <w:rPr>
                        <w:b/>
                        <w:sz w:val="16"/>
                        <w:szCs w:val="16"/>
                      </w:rPr>
                    </w:pPr>
                    <w:r w:rsidRPr="00A52DFA">
                      <w:rPr>
                        <w:b/>
                        <w:sz w:val="16"/>
                        <w:szCs w:val="16"/>
                      </w:rPr>
                      <w:t>Вхідний</w:t>
                    </w:r>
                  </w:p>
                  <w:p w:rsidR="00702F86" w:rsidRPr="00A52DFA" w:rsidRDefault="00702F86" w:rsidP="00E44BB2">
                    <w:pPr>
                      <w:jc w:val="center"/>
                      <w:rPr>
                        <w:b/>
                        <w:sz w:val="16"/>
                        <w:szCs w:val="16"/>
                      </w:rPr>
                    </w:pPr>
                    <w:r>
                      <w:rPr>
                        <w:b/>
                        <w:sz w:val="16"/>
                        <w:szCs w:val="16"/>
                      </w:rPr>
                      <w:t>шар</w:t>
                    </w:r>
                  </w:p>
                </w:txbxContent>
              </v:textbox>
            </v:shape>
            <v:shape id="_x0000_s1183" type="#_x0000_t202" style="position:absolute;left:4116;top:8657;width:1412;height:278" stroked="f">
              <v:textbox style="mso-next-textbox:#_x0000_s1183">
                <w:txbxContent>
                  <w:p w:rsidR="00702F86" w:rsidRPr="00A52DFA" w:rsidRDefault="00702F86" w:rsidP="00E44BB2">
                    <w:pPr>
                      <w:jc w:val="center"/>
                      <w:rPr>
                        <w:b/>
                        <w:sz w:val="16"/>
                        <w:szCs w:val="16"/>
                      </w:rPr>
                    </w:pPr>
                    <w:r w:rsidRPr="00A52DFA">
                      <w:rPr>
                        <w:b/>
                        <w:sz w:val="16"/>
                        <w:szCs w:val="16"/>
                      </w:rPr>
                      <w:t>Прихований</w:t>
                    </w:r>
                    <w:r>
                      <w:rPr>
                        <w:b/>
                        <w:sz w:val="16"/>
                        <w:szCs w:val="16"/>
                      </w:rPr>
                      <w:t xml:space="preserve"> шар</w:t>
                    </w:r>
                  </w:p>
                </w:txbxContent>
              </v:textbox>
            </v:shape>
            <v:shape id="_x0000_s1184" type="#_x0000_t202" style="position:absolute;left:7222;top:8657;width:1130;height:278" stroked="f">
              <v:textbox style="mso-next-textbox:#_x0000_s1184">
                <w:txbxContent>
                  <w:p w:rsidR="00702F86" w:rsidRPr="00A52DFA" w:rsidRDefault="00702F86" w:rsidP="00E44BB2">
                    <w:pPr>
                      <w:jc w:val="center"/>
                      <w:rPr>
                        <w:b/>
                        <w:sz w:val="16"/>
                        <w:szCs w:val="16"/>
                      </w:rPr>
                    </w:pPr>
                    <w:r w:rsidRPr="00A52DFA">
                      <w:rPr>
                        <w:b/>
                        <w:sz w:val="16"/>
                        <w:szCs w:val="16"/>
                      </w:rPr>
                      <w:t>Вихідний шар</w:t>
                    </w:r>
                  </w:p>
                </w:txbxContent>
              </v:textbox>
            </v:shape>
            <v:shape id="_x0000_s1185" type="#_x0000_t202" style="position:absolute;left:8916;top:5034;width:462;height:518;mso-wrap-style:none" stroked="f">
              <v:textbox style="mso-next-textbox:#_x0000_s1185;mso-fit-shape-to-text:t">
                <w:txbxContent>
                  <w:p w:rsidR="00702F86" w:rsidRDefault="00702F86" w:rsidP="00E44BB2">
                    <w:r w:rsidRPr="00701EF0">
                      <w:rPr>
                        <w:position w:val="-10"/>
                      </w:rPr>
                      <w:object w:dxaOrig="300" w:dyaOrig="340">
                        <v:shape id="_x0000_i1050" type="#_x0000_t75" style="width:15pt;height:17.25pt" o:ole="">
                          <v:imagedata r:id="rId67" o:title=""/>
                        </v:shape>
                        <o:OLEObject Type="Embed" ProgID="Equation.3" ShapeID="_x0000_i1050" DrawAspect="Content" ObjectID="_1493149039" r:id="rId68"/>
                      </w:object>
                    </w:r>
                  </w:p>
                </w:txbxContent>
              </v:textbox>
            </v:shape>
            <v:shape id="_x0000_s1186" type="#_x0000_t202" style="position:absolute;left:8916;top:6428;width:450;height:530;mso-wrap-style:none" stroked="f">
              <v:textbox style="mso-next-textbox:#_x0000_s1186;mso-fit-shape-to-text:t">
                <w:txbxContent>
                  <w:p w:rsidR="00702F86" w:rsidRDefault="00702F86" w:rsidP="00E44BB2">
                    <w:r w:rsidRPr="00701EF0">
                      <w:rPr>
                        <w:position w:val="-12"/>
                      </w:rPr>
                      <w:object w:dxaOrig="279" w:dyaOrig="360">
                        <v:shape id="_x0000_i1051" type="#_x0000_t75" style="width:14.25pt;height:18pt" o:ole="">
                          <v:imagedata r:id="rId69" o:title=""/>
                        </v:shape>
                        <o:OLEObject Type="Embed" ProgID="Equation.3" ShapeID="_x0000_i1051" DrawAspect="Content" ObjectID="_1493149040" r:id="rId70"/>
                      </w:object>
                    </w:r>
                  </w:p>
                </w:txbxContent>
              </v:textbox>
            </v:shape>
            <v:shape id="_x0000_s1187" type="#_x0000_t202" style="position:absolute;left:8916;top:7961;width:497;height:519;mso-wrap-style:none" stroked="f">
              <v:textbox style="mso-next-textbox:#_x0000_s1187;mso-fit-shape-to-text:t">
                <w:txbxContent>
                  <w:p w:rsidR="00702F86" w:rsidRDefault="00702F86" w:rsidP="00E44BB2">
                    <w:r w:rsidRPr="00701EF0">
                      <w:rPr>
                        <w:position w:val="-10"/>
                      </w:rPr>
                      <w:object w:dxaOrig="340" w:dyaOrig="340">
                        <v:shape id="_x0000_i1052" type="#_x0000_t75" style="width:17.25pt;height:17.25pt" o:ole="">
                          <v:imagedata r:id="rId71" o:title=""/>
                        </v:shape>
                        <o:OLEObject Type="Embed" ProgID="Equation.3" ShapeID="_x0000_i1052" DrawAspect="Content" ObjectID="_1493149041" r:id="rId72"/>
                      </w:object>
                    </w:r>
                  </w:p>
                </w:txbxContent>
              </v:textbox>
            </v:shape>
            <v:shape id="_x0000_s1188" type="#_x0000_t202" style="position:absolute;left:8917;top:3780;width:427;height:518;mso-wrap-style:none" stroked="f">
              <v:textbox style="mso-next-textbox:#_x0000_s1188;mso-fit-shape-to-text:t">
                <w:txbxContent>
                  <w:p w:rsidR="00702F86" w:rsidRDefault="00702F86" w:rsidP="00E44BB2">
                    <w:r w:rsidRPr="00701EF0">
                      <w:rPr>
                        <w:position w:val="-10"/>
                      </w:rPr>
                      <w:object w:dxaOrig="260" w:dyaOrig="340">
                        <v:shape id="_x0000_i1053" type="#_x0000_t75" style="width:12.75pt;height:17.25pt" o:ole="">
                          <v:imagedata r:id="rId73" o:title=""/>
                        </v:shape>
                        <o:OLEObject Type="Embed" ProgID="Equation.3" ShapeID="_x0000_i1053" DrawAspect="Content" ObjectID="_1493149042" r:id="rId74"/>
                      </w:object>
                    </w:r>
                  </w:p>
                </w:txbxContent>
              </v:textbox>
            </v:shape>
          </v:group>
        </w:pict>
      </w:r>
      <w:r w:rsidR="00E44BB2" w:rsidRPr="004574FB">
        <w:rPr>
          <w:rFonts w:ascii="Times New Roman" w:hAnsi="Times New Roman" w:cs="Times New Roman"/>
        </w:rPr>
        <w:t xml:space="preserve">Архітерктуру зазначеної структури ШНМ з РБФ зображено на рисунку </w:t>
      </w:r>
      <w:r w:rsidR="00505B6E">
        <w:rPr>
          <w:rFonts w:ascii="Times New Roman" w:hAnsi="Times New Roman" w:cs="Times New Roman"/>
        </w:rPr>
        <w:t>5:</w:t>
      </w:r>
    </w:p>
    <w:p w:rsidR="00505B6E" w:rsidRDefault="00505B6E" w:rsidP="00505B6E">
      <w:pPr>
        <w:spacing w:after="0" w:line="276" w:lineRule="auto"/>
        <w:ind w:firstLine="567"/>
        <w:jc w:val="both"/>
        <w:rPr>
          <w:rFonts w:ascii="Times New Roman" w:hAnsi="Times New Roman" w:cs="Times New Roman"/>
        </w:rPr>
      </w:pPr>
    </w:p>
    <w:p w:rsidR="00505B6E" w:rsidRPr="004574FB" w:rsidRDefault="00505B6E" w:rsidP="00505B6E">
      <w:pPr>
        <w:spacing w:after="0" w:line="276" w:lineRule="auto"/>
        <w:ind w:firstLine="567"/>
        <w:jc w:val="both"/>
        <w:rPr>
          <w:rFonts w:ascii="Times New Roman" w:hAnsi="Times New Roman" w:cs="Times New Roman"/>
        </w:rPr>
      </w:pPr>
    </w:p>
    <w:p w:rsidR="00E44BB2" w:rsidRPr="004574FB" w:rsidRDefault="00E44BB2" w:rsidP="004574FB">
      <w:pPr>
        <w:spacing w:line="276" w:lineRule="auto"/>
        <w:jc w:val="both"/>
        <w:rPr>
          <w:rFonts w:ascii="Times New Roman" w:hAnsi="Times New Roman" w:cs="Times New Roman"/>
        </w:rPr>
      </w:pPr>
    </w:p>
    <w:p w:rsidR="00E44BB2" w:rsidRPr="004574FB" w:rsidRDefault="00E44BB2" w:rsidP="004574FB">
      <w:pPr>
        <w:spacing w:line="276" w:lineRule="auto"/>
        <w:jc w:val="both"/>
        <w:rPr>
          <w:rFonts w:ascii="Times New Roman" w:hAnsi="Times New Roman" w:cs="Times New Roman"/>
        </w:rPr>
      </w:pPr>
    </w:p>
    <w:p w:rsidR="00E44BB2" w:rsidRPr="004574FB" w:rsidRDefault="00E44BB2" w:rsidP="004574FB">
      <w:pPr>
        <w:spacing w:line="276" w:lineRule="auto"/>
        <w:ind w:left="-567" w:firstLine="567"/>
        <w:rPr>
          <w:rFonts w:ascii="Times New Roman" w:hAnsi="Times New Roman" w:cs="Times New Roman"/>
        </w:rPr>
      </w:pPr>
    </w:p>
    <w:p w:rsidR="00E44BB2" w:rsidRPr="004574FB" w:rsidRDefault="00E44BB2" w:rsidP="004574FB">
      <w:pPr>
        <w:spacing w:line="276" w:lineRule="auto"/>
        <w:rPr>
          <w:rFonts w:ascii="Times New Roman" w:hAnsi="Times New Roman" w:cs="Times New Roman"/>
        </w:rPr>
      </w:pPr>
    </w:p>
    <w:p w:rsidR="00E44BB2" w:rsidRPr="004574FB" w:rsidRDefault="00E44BB2" w:rsidP="004574FB">
      <w:pPr>
        <w:spacing w:line="276" w:lineRule="auto"/>
        <w:rPr>
          <w:rFonts w:ascii="Times New Roman" w:hAnsi="Times New Roman" w:cs="Times New Roman"/>
        </w:rPr>
      </w:pPr>
    </w:p>
    <w:p w:rsidR="00E44BB2" w:rsidRPr="004574FB" w:rsidRDefault="00E44BB2" w:rsidP="004574FB">
      <w:pPr>
        <w:spacing w:line="276" w:lineRule="auto"/>
        <w:rPr>
          <w:rFonts w:ascii="Times New Roman" w:hAnsi="Times New Roman" w:cs="Times New Roman"/>
        </w:rPr>
      </w:pPr>
    </w:p>
    <w:p w:rsidR="00E44BB2" w:rsidRPr="004574FB" w:rsidRDefault="00E44BB2" w:rsidP="004574FB">
      <w:pPr>
        <w:spacing w:line="276" w:lineRule="auto"/>
        <w:rPr>
          <w:rFonts w:ascii="Times New Roman" w:hAnsi="Times New Roman" w:cs="Times New Roman"/>
        </w:rPr>
      </w:pPr>
    </w:p>
    <w:p w:rsidR="00E44BB2" w:rsidRPr="004574FB" w:rsidRDefault="00E44BB2" w:rsidP="004574FB">
      <w:pPr>
        <w:spacing w:line="276" w:lineRule="auto"/>
        <w:rPr>
          <w:rFonts w:ascii="Times New Roman" w:hAnsi="Times New Roman" w:cs="Times New Roman"/>
        </w:rPr>
      </w:pPr>
    </w:p>
    <w:p w:rsidR="00E44BB2" w:rsidRPr="004574FB" w:rsidRDefault="00E44BB2" w:rsidP="004574FB">
      <w:pPr>
        <w:spacing w:line="276" w:lineRule="auto"/>
        <w:rPr>
          <w:rFonts w:ascii="Times New Roman" w:hAnsi="Times New Roman" w:cs="Times New Roman"/>
        </w:rPr>
      </w:pPr>
    </w:p>
    <w:p w:rsidR="00E44BB2" w:rsidRPr="004574FB" w:rsidRDefault="00E44BB2" w:rsidP="004574FB">
      <w:pPr>
        <w:spacing w:line="276" w:lineRule="auto"/>
        <w:rPr>
          <w:rFonts w:ascii="Times New Roman" w:hAnsi="Times New Roman" w:cs="Times New Roman"/>
        </w:rPr>
      </w:pPr>
    </w:p>
    <w:p w:rsidR="00E44BB2" w:rsidRPr="004574FB" w:rsidRDefault="00E44BB2" w:rsidP="004574FB">
      <w:pPr>
        <w:spacing w:line="276" w:lineRule="auto"/>
        <w:jc w:val="center"/>
        <w:rPr>
          <w:rFonts w:ascii="Times New Roman" w:hAnsi="Times New Roman" w:cs="Times New Roman"/>
        </w:rPr>
      </w:pPr>
    </w:p>
    <w:p w:rsidR="00E44BB2" w:rsidRPr="004574FB" w:rsidRDefault="00E44BB2" w:rsidP="004574FB">
      <w:pPr>
        <w:spacing w:line="276" w:lineRule="auto"/>
        <w:jc w:val="center"/>
        <w:rPr>
          <w:rFonts w:ascii="Times New Roman" w:hAnsi="Times New Roman" w:cs="Times New Roman"/>
        </w:rPr>
      </w:pPr>
    </w:p>
    <w:p w:rsidR="00E44BB2" w:rsidRPr="004574FB" w:rsidRDefault="00E44BB2" w:rsidP="004574FB">
      <w:pPr>
        <w:spacing w:line="276" w:lineRule="auto"/>
        <w:jc w:val="center"/>
        <w:rPr>
          <w:rFonts w:ascii="Times New Roman" w:hAnsi="Times New Roman" w:cs="Times New Roman"/>
        </w:rPr>
      </w:pPr>
    </w:p>
    <w:p w:rsidR="00E44BB2" w:rsidRPr="004574FB" w:rsidRDefault="00E44BB2" w:rsidP="004574FB">
      <w:pPr>
        <w:spacing w:line="276" w:lineRule="auto"/>
        <w:jc w:val="center"/>
        <w:rPr>
          <w:rFonts w:ascii="Times New Roman" w:hAnsi="Times New Roman" w:cs="Times New Roman"/>
        </w:rPr>
      </w:pPr>
    </w:p>
    <w:p w:rsidR="00E44BB2" w:rsidRPr="004574FB" w:rsidRDefault="00E44BB2" w:rsidP="004574FB">
      <w:pPr>
        <w:spacing w:line="276" w:lineRule="auto"/>
        <w:jc w:val="center"/>
        <w:rPr>
          <w:rFonts w:ascii="Times New Roman" w:hAnsi="Times New Roman" w:cs="Times New Roman"/>
        </w:rPr>
      </w:pPr>
    </w:p>
    <w:p w:rsidR="00E44BB2" w:rsidRPr="004574FB" w:rsidRDefault="00505B6E" w:rsidP="004574FB">
      <w:pPr>
        <w:spacing w:line="276" w:lineRule="auto"/>
        <w:jc w:val="center"/>
        <w:rPr>
          <w:rFonts w:ascii="Times New Roman" w:hAnsi="Times New Roman" w:cs="Times New Roman"/>
        </w:rPr>
      </w:pPr>
      <w:r>
        <w:rPr>
          <w:rFonts w:ascii="Times New Roman" w:hAnsi="Times New Roman" w:cs="Times New Roman"/>
        </w:rPr>
        <w:t>Рис. 5.</w:t>
      </w:r>
      <w:r w:rsidR="00E44BB2" w:rsidRPr="004574FB">
        <w:rPr>
          <w:rFonts w:ascii="Times New Roman" w:hAnsi="Times New Roman" w:cs="Times New Roman"/>
        </w:rPr>
        <w:t xml:space="preserve"> Оптимальна архітектура штучної нейронної мережі з радіально-базисними функціями для моделювання індексі</w:t>
      </w:r>
      <w:r>
        <w:rPr>
          <w:rFonts w:ascii="Times New Roman" w:hAnsi="Times New Roman" w:cs="Times New Roman"/>
        </w:rPr>
        <w:t>в фінансово-економічної безпеки</w:t>
      </w:r>
    </w:p>
    <w:p w:rsidR="00943100" w:rsidRPr="004574FB" w:rsidRDefault="00943100" w:rsidP="00AC5AE4">
      <w:pPr>
        <w:spacing w:line="276" w:lineRule="auto"/>
        <w:jc w:val="both"/>
        <w:rPr>
          <w:rFonts w:ascii="Times New Roman" w:hAnsi="Times New Roman" w:cs="Times New Roman"/>
        </w:rPr>
      </w:pPr>
      <w:r w:rsidRPr="004574FB">
        <w:rPr>
          <w:rFonts w:ascii="Times New Roman" w:hAnsi="Times New Roman" w:cs="Times New Roman"/>
        </w:rPr>
        <w:lastRenderedPageBreak/>
        <w:t>Побудована структура ШНМ з РБФ для розв’язку задачі має вигляд:</w:t>
      </w:r>
    </w:p>
    <w:p w:rsidR="00943100" w:rsidRPr="004574FB" w:rsidRDefault="00943100" w:rsidP="004574FB">
      <w:pPr>
        <w:spacing w:line="276" w:lineRule="auto"/>
        <w:jc w:val="both"/>
        <w:rPr>
          <w:rFonts w:ascii="Times New Roman" w:hAnsi="Times New Roman" w:cs="Times New Roman"/>
          <w:bCs/>
        </w:rPr>
      </w:pPr>
      <w:r w:rsidRPr="004574FB">
        <w:rPr>
          <w:rFonts w:ascii="Times New Roman" w:hAnsi="Times New Roman" w:cs="Times New Roman"/>
          <w:b/>
        </w:rPr>
        <w:t xml:space="preserve">     </w:t>
      </w:r>
      <w:r w:rsidRPr="004574FB">
        <w:rPr>
          <w:rFonts w:ascii="Times New Roman" w:hAnsi="Times New Roman" w:cs="Times New Roman"/>
          <w:b/>
          <w:position w:val="-14"/>
        </w:rPr>
        <w:object w:dxaOrig="7500" w:dyaOrig="400">
          <v:shape id="_x0000_i1036" type="#_x0000_t75" style="width:422.25pt;height:25.5pt" o:ole="">
            <v:imagedata r:id="rId75" o:title=""/>
          </v:shape>
          <o:OLEObject Type="Embed" ProgID="Equation.3" ShapeID="_x0000_i1036" DrawAspect="Content" ObjectID="_1493149025" r:id="rId76"/>
        </w:object>
      </w:r>
      <w:r w:rsidRPr="004574FB">
        <w:rPr>
          <w:rFonts w:ascii="Times New Roman" w:hAnsi="Times New Roman" w:cs="Times New Roman"/>
          <w:b/>
        </w:rPr>
        <w:t xml:space="preserve">   </w:t>
      </w:r>
      <w:r w:rsidR="00AC5AE4">
        <w:rPr>
          <w:rFonts w:ascii="Times New Roman" w:hAnsi="Times New Roman" w:cs="Times New Roman"/>
          <w:bCs/>
        </w:rPr>
        <w:t>(</w:t>
      </w:r>
      <w:r w:rsidRPr="004574FB">
        <w:rPr>
          <w:rFonts w:ascii="Times New Roman" w:hAnsi="Times New Roman" w:cs="Times New Roman"/>
          <w:bCs/>
        </w:rPr>
        <w:t>4)</w:t>
      </w:r>
    </w:p>
    <w:p w:rsidR="00943100" w:rsidRPr="004574FB" w:rsidRDefault="00943100" w:rsidP="00AC5AE4">
      <w:pPr>
        <w:spacing w:after="0" w:line="276" w:lineRule="auto"/>
        <w:ind w:firstLine="567"/>
        <w:jc w:val="both"/>
        <w:rPr>
          <w:rFonts w:ascii="Times New Roman" w:hAnsi="Times New Roman" w:cs="Times New Roman"/>
          <w:bCs/>
          <w:lang w:val="ru-RU"/>
        </w:rPr>
      </w:pPr>
      <w:r w:rsidRPr="004574FB">
        <w:rPr>
          <w:rFonts w:ascii="Times New Roman" w:hAnsi="Times New Roman" w:cs="Times New Roman"/>
          <w:bCs/>
        </w:rPr>
        <w:t>На основі поб</w:t>
      </w:r>
      <w:r w:rsidR="00AC5AE4">
        <w:rPr>
          <w:rFonts w:ascii="Times New Roman" w:hAnsi="Times New Roman" w:cs="Times New Roman"/>
          <w:bCs/>
        </w:rPr>
        <w:t>удованої структури ШНМ з РБФ (</w:t>
      </w:r>
      <w:r w:rsidRPr="004574FB">
        <w:rPr>
          <w:rFonts w:ascii="Times New Roman" w:hAnsi="Times New Roman" w:cs="Times New Roman"/>
          <w:bCs/>
        </w:rPr>
        <w:t>4) одержуємо результати моделювання індикаторів фінансов</w:t>
      </w:r>
      <w:r w:rsidR="00AC5AE4">
        <w:rPr>
          <w:rFonts w:ascii="Times New Roman" w:hAnsi="Times New Roman" w:cs="Times New Roman"/>
          <w:bCs/>
        </w:rPr>
        <w:t>ої</w:t>
      </w:r>
      <w:r w:rsidRPr="004574FB">
        <w:rPr>
          <w:rFonts w:ascii="Times New Roman" w:hAnsi="Times New Roman" w:cs="Times New Roman"/>
          <w:bCs/>
        </w:rPr>
        <w:t xml:space="preserve"> безпеки, враховуючи податковий борг, як чинник, що на них впливає.</w:t>
      </w:r>
    </w:p>
    <w:p w:rsidR="002A6126" w:rsidRDefault="002A6126" w:rsidP="00AC5AE4">
      <w:pPr>
        <w:spacing w:after="0" w:line="276" w:lineRule="auto"/>
        <w:ind w:firstLine="567"/>
        <w:jc w:val="both"/>
        <w:rPr>
          <w:rFonts w:ascii="Times New Roman" w:hAnsi="Times New Roman" w:cs="Times New Roman"/>
        </w:rPr>
      </w:pPr>
      <w:r w:rsidRPr="004574FB">
        <w:rPr>
          <w:rFonts w:ascii="Times New Roman" w:hAnsi="Times New Roman" w:cs="Times New Roman"/>
        </w:rPr>
        <w:t>Всю вибірку даних поділяємо на навчальну і тестову (контрольну, перевірочну). На навчальній вибірці ШНМ з РБФ вчиться, а на контрольній вибірці перевіряємо адекватність побудованої структури ШНМ з РБФ для моделювання показників фіна</w:t>
      </w:r>
      <w:r w:rsidR="00AC5AE4">
        <w:rPr>
          <w:rFonts w:ascii="Times New Roman" w:hAnsi="Times New Roman" w:cs="Times New Roman"/>
        </w:rPr>
        <w:t>нсово</w:t>
      </w:r>
      <w:r w:rsidRPr="004574FB">
        <w:rPr>
          <w:rFonts w:ascii="Times New Roman" w:hAnsi="Times New Roman" w:cs="Times New Roman"/>
        </w:rPr>
        <w:t>ї безпеки. На рисунку вертикальною лінією розділено навчальну та контрольну вибірку. Пунктирна лінія позначає експериментальні дані, а суцільна – модельовані, тоб</w:t>
      </w:r>
      <w:r w:rsidR="00AC5AE4">
        <w:rPr>
          <w:rFonts w:ascii="Times New Roman" w:hAnsi="Times New Roman" w:cs="Times New Roman"/>
        </w:rPr>
        <w:t>то взаємозв’язок показників фінансової безпеки та податкового боргу</w:t>
      </w:r>
      <w:r w:rsidRPr="004574FB">
        <w:rPr>
          <w:rFonts w:ascii="Times New Roman" w:hAnsi="Times New Roman" w:cs="Times New Roman"/>
        </w:rPr>
        <w:t xml:space="preserve"> як чинника, що впливає на вказані показники.</w:t>
      </w:r>
    </w:p>
    <w:p w:rsidR="00AC5AE4" w:rsidRDefault="00AC5AE4" w:rsidP="00AC5AE4">
      <w:pPr>
        <w:spacing w:after="0" w:line="276" w:lineRule="auto"/>
        <w:ind w:firstLine="567"/>
        <w:jc w:val="both"/>
        <w:rPr>
          <w:rFonts w:ascii="Times New Roman" w:hAnsi="Times New Roman" w:cs="Times New Roman"/>
        </w:rPr>
      </w:pPr>
      <w:r>
        <w:rPr>
          <w:rFonts w:ascii="Times New Roman" w:hAnsi="Times New Roman" w:cs="Times New Roman"/>
        </w:rPr>
        <w:t xml:space="preserve">Отже, результати моделювання індикатором – </w:t>
      </w:r>
      <w:r w:rsidR="00B4721D">
        <w:rPr>
          <w:rFonts w:ascii="Times New Roman" w:hAnsi="Times New Roman" w:cs="Times New Roman"/>
        </w:rPr>
        <w:t>рівень тінізації економіки:</w:t>
      </w:r>
    </w:p>
    <w:p w:rsidR="00B4721D" w:rsidRDefault="00B4721D" w:rsidP="00B4721D">
      <w:pPr>
        <w:spacing w:after="0" w:line="276" w:lineRule="auto"/>
        <w:jc w:val="both"/>
        <w:rPr>
          <w:rFonts w:ascii="Times New Roman" w:hAnsi="Times New Roman" w:cs="Times New Roman"/>
        </w:rPr>
      </w:pPr>
      <w:r w:rsidRPr="00B4721D">
        <w:rPr>
          <w:rFonts w:ascii="Times New Roman" w:hAnsi="Times New Roman" w:cs="Times New Roman"/>
          <w:noProof/>
          <w:lang w:eastAsia="uk-UA"/>
        </w:rPr>
        <w:drawing>
          <wp:inline distT="0" distB="0" distL="0" distR="0">
            <wp:extent cx="5781675" cy="291465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srcRect/>
                    <a:stretch>
                      <a:fillRect/>
                    </a:stretch>
                  </pic:blipFill>
                  <pic:spPr bwMode="auto">
                    <a:xfrm>
                      <a:off x="0" y="0"/>
                      <a:ext cx="5781675" cy="2914650"/>
                    </a:xfrm>
                    <a:prstGeom prst="rect">
                      <a:avLst/>
                    </a:prstGeom>
                    <a:noFill/>
                    <a:ln w="9525">
                      <a:noFill/>
                      <a:miter lim="800000"/>
                      <a:headEnd/>
                      <a:tailEnd/>
                    </a:ln>
                  </pic:spPr>
                </pic:pic>
              </a:graphicData>
            </a:graphic>
          </wp:inline>
        </w:drawing>
      </w:r>
    </w:p>
    <w:p w:rsidR="00B4721D" w:rsidRDefault="00B4721D" w:rsidP="00B4721D">
      <w:pPr>
        <w:tabs>
          <w:tab w:val="left" w:pos="3285"/>
        </w:tabs>
        <w:spacing w:line="276" w:lineRule="auto"/>
        <w:ind w:firstLine="567"/>
        <w:jc w:val="both"/>
        <w:rPr>
          <w:rFonts w:ascii="Times New Roman" w:hAnsi="Times New Roman" w:cs="Times New Roman"/>
        </w:rPr>
      </w:pPr>
      <w:r>
        <w:rPr>
          <w:rFonts w:ascii="Times New Roman" w:hAnsi="Times New Roman" w:cs="Times New Roman"/>
        </w:rPr>
        <w:t>Рис. 6. Взаємозвʼязок між податковим боргом та індикатором фінансової безпеки – податкове навантаження</w:t>
      </w:r>
    </w:p>
    <w:p w:rsidR="00AC5AE4" w:rsidRDefault="00B4721D" w:rsidP="00B4721D">
      <w:pPr>
        <w:spacing w:after="0" w:line="276" w:lineRule="auto"/>
        <w:ind w:firstLine="567"/>
        <w:jc w:val="both"/>
        <w:rPr>
          <w:rFonts w:ascii="Times New Roman" w:hAnsi="Times New Roman" w:cs="Times New Roman"/>
        </w:rPr>
      </w:pPr>
      <w:r>
        <w:rPr>
          <w:rFonts w:ascii="Times New Roman" w:hAnsi="Times New Roman" w:cs="Times New Roman"/>
        </w:rPr>
        <w:t xml:space="preserve">Як свідчать проведені експерименти, отримані результати прогнозування та фактичні значення показника досить точно повторюють динаміку один одного. В обох випадках нейронна мережа при </w:t>
      </w:r>
      <w:r w:rsidR="00FB3979">
        <w:rPr>
          <w:rFonts w:ascii="Times New Roman" w:hAnsi="Times New Roman" w:cs="Times New Roman"/>
        </w:rPr>
        <w:t>«</w:t>
      </w:r>
      <w:r>
        <w:rPr>
          <w:rFonts w:ascii="Times New Roman" w:hAnsi="Times New Roman" w:cs="Times New Roman"/>
        </w:rPr>
        <w:t>навчанні</w:t>
      </w:r>
      <w:r w:rsidR="00FB3979">
        <w:rPr>
          <w:rFonts w:ascii="Times New Roman" w:hAnsi="Times New Roman" w:cs="Times New Roman"/>
        </w:rPr>
        <w:t>»</w:t>
      </w:r>
      <w:r>
        <w:rPr>
          <w:rFonts w:ascii="Times New Roman" w:hAnsi="Times New Roman" w:cs="Times New Roman"/>
        </w:rPr>
        <w:t xml:space="preserve"> точно відтворює тренд досліджуваного показника, що ми трактуємо як підтвердження сформульованої гіпотези - взаємозвʼязку податкового боргу та фінансової безпеки за обраним показником.</w:t>
      </w:r>
    </w:p>
    <w:p w:rsidR="00AC5AE4" w:rsidRDefault="00B4721D" w:rsidP="00AC5AE4">
      <w:pPr>
        <w:spacing w:after="0" w:line="276" w:lineRule="auto"/>
        <w:ind w:firstLine="567"/>
        <w:jc w:val="both"/>
        <w:rPr>
          <w:rFonts w:ascii="Times New Roman" w:hAnsi="Times New Roman" w:cs="Times New Roman"/>
        </w:rPr>
      </w:pPr>
      <w:r>
        <w:rPr>
          <w:rFonts w:ascii="Times New Roman" w:hAnsi="Times New Roman" w:cs="Times New Roman"/>
        </w:rPr>
        <w:t xml:space="preserve">Розглянемо результати моделювання за іншим оціночним показником – податковим </w:t>
      </w:r>
      <w:r w:rsidR="00AC5AE4">
        <w:rPr>
          <w:rFonts w:ascii="Times New Roman" w:hAnsi="Times New Roman" w:cs="Times New Roman"/>
        </w:rPr>
        <w:t xml:space="preserve"> </w:t>
      </w:r>
      <w:r>
        <w:rPr>
          <w:rFonts w:ascii="Times New Roman" w:hAnsi="Times New Roman" w:cs="Times New Roman"/>
        </w:rPr>
        <w:t>навантаженням</w:t>
      </w:r>
      <w:r w:rsidR="00FB3979">
        <w:rPr>
          <w:rFonts w:ascii="Times New Roman" w:hAnsi="Times New Roman" w:cs="Times New Roman"/>
        </w:rPr>
        <w:t xml:space="preserve"> (рис. 7). </w:t>
      </w:r>
    </w:p>
    <w:p w:rsidR="00FB3979" w:rsidRDefault="00FB3979" w:rsidP="00AC5AE4">
      <w:pPr>
        <w:spacing w:after="0" w:line="276" w:lineRule="auto"/>
        <w:ind w:firstLine="567"/>
        <w:jc w:val="both"/>
        <w:rPr>
          <w:sz w:val="28"/>
          <w:szCs w:val="28"/>
        </w:rPr>
      </w:pPr>
      <w:r>
        <w:rPr>
          <w:rFonts w:ascii="Times New Roman" w:hAnsi="Times New Roman" w:cs="Times New Roman"/>
        </w:rPr>
        <w:t xml:space="preserve">Як видно на рисунку, під час «навчання» нейронна мережа не відтворює тенденцій, продемонстрованих фактичною динамікою досліджуваного індикатора, крім того, цікавим є факт, що у прогнозованому періоді </w:t>
      </w:r>
      <w:r w:rsidR="00110C40">
        <w:rPr>
          <w:rFonts w:ascii="Times New Roman" w:hAnsi="Times New Roman" w:cs="Times New Roman"/>
        </w:rPr>
        <w:t>моделлю відтворюється абсолютно зворотня зміна – «викид» прогнозних значень. На наш погляд, це означає відсутність взаємозвʼязку між явищами.</w:t>
      </w:r>
    </w:p>
    <w:p w:rsidR="00AC5AE4" w:rsidRDefault="00AC5AE4" w:rsidP="00AC5AE4">
      <w:pPr>
        <w:spacing w:after="0" w:line="276" w:lineRule="auto"/>
        <w:jc w:val="both"/>
        <w:rPr>
          <w:rFonts w:ascii="Times New Roman" w:hAnsi="Times New Roman" w:cs="Times New Roman"/>
        </w:rPr>
      </w:pPr>
      <w:r w:rsidRPr="002A6126">
        <w:rPr>
          <w:noProof/>
          <w:sz w:val="28"/>
          <w:szCs w:val="28"/>
          <w:lang w:eastAsia="uk-UA"/>
        </w:rPr>
        <w:lastRenderedPageBreak/>
        <w:drawing>
          <wp:inline distT="0" distB="0" distL="0" distR="0">
            <wp:extent cx="5838825" cy="2781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cstate="print"/>
                    <a:srcRect/>
                    <a:stretch>
                      <a:fillRect/>
                    </a:stretch>
                  </pic:blipFill>
                  <pic:spPr bwMode="auto">
                    <a:xfrm>
                      <a:off x="0" y="0"/>
                      <a:ext cx="5838825" cy="2781300"/>
                    </a:xfrm>
                    <a:prstGeom prst="rect">
                      <a:avLst/>
                    </a:prstGeom>
                    <a:noFill/>
                    <a:ln w="9525">
                      <a:noFill/>
                      <a:miter lim="800000"/>
                      <a:headEnd/>
                      <a:tailEnd/>
                    </a:ln>
                  </pic:spPr>
                </pic:pic>
              </a:graphicData>
            </a:graphic>
          </wp:inline>
        </w:drawing>
      </w:r>
    </w:p>
    <w:p w:rsidR="00AC5AE4" w:rsidRDefault="00AC5AE4" w:rsidP="00AC5AE4">
      <w:pPr>
        <w:rPr>
          <w:rFonts w:ascii="Times New Roman" w:hAnsi="Times New Roman" w:cs="Times New Roman"/>
        </w:rPr>
      </w:pPr>
    </w:p>
    <w:p w:rsidR="00C565B6" w:rsidRPr="0093318E" w:rsidRDefault="00B4721D" w:rsidP="0093318E">
      <w:pPr>
        <w:tabs>
          <w:tab w:val="left" w:pos="3285"/>
        </w:tabs>
        <w:spacing w:line="276" w:lineRule="auto"/>
        <w:ind w:firstLine="567"/>
        <w:jc w:val="both"/>
        <w:rPr>
          <w:rFonts w:ascii="Times New Roman" w:hAnsi="Times New Roman" w:cs="Times New Roman"/>
        </w:rPr>
      </w:pPr>
      <w:r>
        <w:rPr>
          <w:rFonts w:ascii="Times New Roman" w:hAnsi="Times New Roman" w:cs="Times New Roman"/>
        </w:rPr>
        <w:t>Рис. 7</w:t>
      </w:r>
      <w:r w:rsidR="00AC5AE4">
        <w:rPr>
          <w:rFonts w:ascii="Times New Roman" w:hAnsi="Times New Roman" w:cs="Times New Roman"/>
        </w:rPr>
        <w:t>. Взаємозвʼязок між податковим боргом та індикатором фінансової безпеки – податкове навантаження</w:t>
      </w:r>
    </w:p>
    <w:p w:rsidR="00C565B6" w:rsidRPr="00C565B6" w:rsidRDefault="00C565B6" w:rsidP="003B6C3D">
      <w:pPr>
        <w:shd w:val="clear" w:color="auto" w:fill="FFFFFF"/>
        <w:spacing w:after="0" w:line="264" w:lineRule="atLeast"/>
        <w:ind w:firstLine="567"/>
        <w:jc w:val="center"/>
        <w:rPr>
          <w:rFonts w:ascii="Times New Roman" w:eastAsia="Times New Roman" w:hAnsi="Times New Roman" w:cs="Times New Roman"/>
          <w:lang w:eastAsia="uk-UA"/>
        </w:rPr>
      </w:pPr>
      <w:r w:rsidRPr="00C565B6">
        <w:rPr>
          <w:rFonts w:ascii="Times New Roman" w:eastAsia="Times New Roman" w:hAnsi="Times New Roman" w:cs="Times New Roman"/>
          <w:b/>
          <w:bCs/>
          <w:lang w:eastAsia="uk-UA"/>
        </w:rPr>
        <w:t>Висновки </w:t>
      </w:r>
    </w:p>
    <w:p w:rsidR="00C565B6" w:rsidRPr="0093318E" w:rsidRDefault="0093318E" w:rsidP="005C66D8">
      <w:pPr>
        <w:pStyle w:val="ListParagraph"/>
        <w:numPr>
          <w:ilvl w:val="0"/>
          <w:numId w:val="6"/>
        </w:numPr>
        <w:shd w:val="clear" w:color="auto" w:fill="FFFFFF"/>
        <w:spacing w:after="0" w:line="264" w:lineRule="atLeast"/>
        <w:ind w:left="0" w:firstLine="567"/>
        <w:jc w:val="both"/>
        <w:rPr>
          <w:rFonts w:ascii="Times New Roman" w:eastAsia="Times New Roman" w:hAnsi="Times New Roman" w:cs="Times New Roman"/>
          <w:lang w:val="uk-UA" w:eastAsia="uk-UA"/>
        </w:rPr>
      </w:pPr>
      <w:r w:rsidRPr="0093318E">
        <w:rPr>
          <w:rFonts w:ascii="Times New Roman" w:eastAsia="Times New Roman" w:hAnsi="Times New Roman" w:cs="Times New Roman"/>
          <w:lang w:val="uk-UA" w:eastAsia="uk-UA"/>
        </w:rPr>
        <w:t>Існуючі «класичні» методи оцінки економічної (фінансової) безпеки мають ряд недоліків та в умовах невизначеності та швидкої мінливості зовнішнього середовища не можуть ефективно відображати вплив на її рівень різних факторів.</w:t>
      </w:r>
    </w:p>
    <w:p w:rsidR="0093318E" w:rsidRDefault="0093318E" w:rsidP="005C66D8">
      <w:pPr>
        <w:pStyle w:val="ListParagraph"/>
        <w:numPr>
          <w:ilvl w:val="0"/>
          <w:numId w:val="6"/>
        </w:numPr>
        <w:shd w:val="clear" w:color="auto" w:fill="FFFFFF"/>
        <w:spacing w:after="0" w:line="264" w:lineRule="atLeast"/>
        <w:ind w:left="0"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Нормативно-індикативний аналіз фінансової безпеки пропонується використовувати в методиці оцінки податкової складової фінансової безпеки на першому етапі проведення.</w:t>
      </w:r>
    </w:p>
    <w:p w:rsidR="0093318E" w:rsidRDefault="0093318E" w:rsidP="005C66D8">
      <w:pPr>
        <w:pStyle w:val="ListParagraph"/>
        <w:numPr>
          <w:ilvl w:val="0"/>
          <w:numId w:val="6"/>
        </w:numPr>
        <w:shd w:val="clear" w:color="auto" w:fill="FFFFFF"/>
        <w:spacing w:after="0" w:line="264" w:lineRule="atLeast"/>
        <w:ind w:left="0"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Після декомпозиції внутрішнього середовища фінансової безпеки, із податкової складової було виокремлено два оціночних індикатори, зокрема рівень податкового навантаження та тіньової економіки</w:t>
      </w:r>
      <w:r w:rsidR="005C66D8">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та на основі</w:t>
      </w:r>
      <w:r w:rsidR="005C66D8">
        <w:rPr>
          <w:rFonts w:ascii="Times New Roman" w:eastAsia="Times New Roman" w:hAnsi="Times New Roman" w:cs="Times New Roman"/>
          <w:lang w:val="uk-UA" w:eastAsia="uk-UA"/>
        </w:rPr>
        <w:t xml:space="preserve"> експертних оцінок визначено їх рівень. Встановлено, що значення даних показників свідчать про кризові тенденції у фінансовій безпеці.</w:t>
      </w:r>
    </w:p>
    <w:p w:rsidR="005C66D8" w:rsidRDefault="005C66D8" w:rsidP="005C66D8">
      <w:pPr>
        <w:pStyle w:val="ListParagraph"/>
        <w:numPr>
          <w:ilvl w:val="0"/>
          <w:numId w:val="6"/>
        </w:numPr>
        <w:shd w:val="clear" w:color="auto" w:fill="FFFFFF"/>
        <w:spacing w:after="0" w:line="264" w:lineRule="atLeast"/>
        <w:ind w:left="0"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Наступним етапом методики є моделювання взаємозвʼязку даних кризових індикаторів із податковим боргом з метою підтвердження чи спростування гіпотези, що податковий борг є фактором даних зрушень. </w:t>
      </w:r>
    </w:p>
    <w:p w:rsidR="005C66D8" w:rsidRDefault="005C66D8" w:rsidP="005C66D8">
      <w:pPr>
        <w:pStyle w:val="ListParagraph"/>
        <w:numPr>
          <w:ilvl w:val="0"/>
          <w:numId w:val="6"/>
        </w:numPr>
        <w:shd w:val="clear" w:color="auto" w:fill="FFFFFF"/>
        <w:spacing w:after="0" w:line="264" w:lineRule="atLeast"/>
        <w:ind w:left="0"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Авторами теоретично обгрунтовано доцільність використання для моделювання описаного явища штучних нейронних мереж із радіально-базисними функціями.</w:t>
      </w:r>
    </w:p>
    <w:p w:rsidR="005C66D8" w:rsidRPr="0093318E" w:rsidRDefault="005C66D8" w:rsidP="005C66D8">
      <w:pPr>
        <w:pStyle w:val="ListParagraph"/>
        <w:numPr>
          <w:ilvl w:val="0"/>
          <w:numId w:val="6"/>
        </w:numPr>
        <w:shd w:val="clear" w:color="auto" w:fill="FFFFFF"/>
        <w:spacing w:after="0" w:line="264" w:lineRule="atLeast"/>
        <w:ind w:left="0"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Практичне втілення нейромережевих технологій дозволяє стверджувати, що дана методика якнайкраще підходить до оцінки змінного економічного середовища, ефективно описує навіть опосередкований взаємозвʼязок досліджуваних явищ та дозволяє формулювати висновки щодо стану фінансової безпеки.</w:t>
      </w:r>
    </w:p>
    <w:p w:rsidR="001E065A" w:rsidRPr="00C565B6" w:rsidRDefault="001E065A" w:rsidP="003B6C3D">
      <w:pPr>
        <w:shd w:val="clear" w:color="auto" w:fill="FFFFFF"/>
        <w:spacing w:after="0" w:line="264" w:lineRule="atLeast"/>
        <w:ind w:firstLine="567"/>
        <w:rPr>
          <w:rFonts w:ascii="Times New Roman" w:eastAsia="Times New Roman" w:hAnsi="Times New Roman" w:cs="Times New Roman"/>
          <w:lang w:eastAsia="uk-UA"/>
        </w:rPr>
      </w:pPr>
    </w:p>
    <w:p w:rsidR="00C565B6" w:rsidRDefault="00C565B6" w:rsidP="003B6C3D">
      <w:pPr>
        <w:shd w:val="clear" w:color="auto" w:fill="FFFFFF"/>
        <w:spacing w:after="0" w:line="264" w:lineRule="atLeast"/>
        <w:ind w:firstLine="567"/>
        <w:jc w:val="center"/>
        <w:rPr>
          <w:rFonts w:ascii="Times New Roman" w:eastAsia="Times New Roman" w:hAnsi="Times New Roman" w:cs="Times New Roman"/>
          <w:b/>
          <w:bCs/>
          <w:lang w:eastAsia="uk-UA"/>
        </w:rPr>
      </w:pPr>
      <w:r w:rsidRPr="00C565B6">
        <w:rPr>
          <w:rFonts w:ascii="Times New Roman" w:eastAsia="Times New Roman" w:hAnsi="Times New Roman" w:cs="Times New Roman"/>
          <w:b/>
          <w:bCs/>
          <w:lang w:eastAsia="uk-UA"/>
        </w:rPr>
        <w:t>Перспективи подальших досліджень</w:t>
      </w:r>
    </w:p>
    <w:p w:rsidR="0093318E" w:rsidRDefault="0093318E" w:rsidP="003B6C3D">
      <w:pPr>
        <w:shd w:val="clear" w:color="auto" w:fill="FFFFFF"/>
        <w:spacing w:after="0" w:line="264" w:lineRule="atLeast"/>
        <w:ind w:firstLine="567"/>
        <w:jc w:val="center"/>
        <w:rPr>
          <w:rFonts w:ascii="Times New Roman" w:hAnsi="Times New Roman" w:cs="Times New Roman"/>
          <w:shd w:val="clear" w:color="auto" w:fill="FFFFFF"/>
        </w:rPr>
      </w:pPr>
      <w:r w:rsidRPr="00B036BE">
        <w:rPr>
          <w:rFonts w:ascii="Times New Roman" w:hAnsi="Times New Roman" w:cs="Times New Roman"/>
          <w:shd w:val="clear" w:color="auto" w:fill="FFFFFF"/>
        </w:rPr>
        <w:t xml:space="preserve">Обґрунтовані теоретичні аспекти щодо </w:t>
      </w:r>
      <w:r w:rsidR="00A73A22" w:rsidRPr="00B036BE">
        <w:rPr>
          <w:rFonts w:ascii="Times New Roman" w:hAnsi="Times New Roman" w:cs="Times New Roman"/>
          <w:shd w:val="clear" w:color="auto" w:fill="FFFFFF"/>
        </w:rPr>
        <w:t xml:space="preserve">використання ШНМ з РБФ для моделювання податково-боргової складової фінансової безпеки держави </w:t>
      </w:r>
      <w:r w:rsidR="00B036BE" w:rsidRPr="00B036BE">
        <w:rPr>
          <w:rFonts w:ascii="Times New Roman" w:hAnsi="Times New Roman" w:cs="Times New Roman"/>
          <w:shd w:val="clear" w:color="auto" w:fill="FFFFFF"/>
        </w:rPr>
        <w:t xml:space="preserve">на прикладі двох індикаторів довели свою ефективність та </w:t>
      </w:r>
      <w:r w:rsidRPr="00B036BE">
        <w:rPr>
          <w:rFonts w:ascii="Times New Roman" w:hAnsi="Times New Roman" w:cs="Times New Roman"/>
          <w:shd w:val="clear" w:color="auto" w:fill="FFFFFF"/>
        </w:rPr>
        <w:t xml:space="preserve">будуть використані у подальших дослідженнях </w:t>
      </w:r>
      <w:r w:rsidR="00B036BE" w:rsidRPr="00B036BE">
        <w:rPr>
          <w:rFonts w:ascii="Times New Roman" w:hAnsi="Times New Roman" w:cs="Times New Roman"/>
          <w:shd w:val="clear" w:color="auto" w:fill="FFFFFF"/>
        </w:rPr>
        <w:t xml:space="preserve">за іншими показниками фінансової безпеки, а також для розробки </w:t>
      </w:r>
      <w:r w:rsidRPr="00B036BE">
        <w:rPr>
          <w:rFonts w:ascii="Times New Roman" w:hAnsi="Times New Roman" w:cs="Times New Roman"/>
          <w:shd w:val="clear" w:color="auto" w:fill="FFFFFF"/>
        </w:rPr>
        <w:t>теорії кризових явищ</w:t>
      </w:r>
      <w:r w:rsidR="00B036BE" w:rsidRPr="00B036BE">
        <w:rPr>
          <w:rFonts w:ascii="Times New Roman" w:hAnsi="Times New Roman" w:cs="Times New Roman"/>
          <w:shd w:val="clear" w:color="auto" w:fill="FFFFFF"/>
        </w:rPr>
        <w:t xml:space="preserve"> у фінансовій безпеці держави.</w:t>
      </w:r>
    </w:p>
    <w:p w:rsidR="003726C9" w:rsidRPr="00B036BE" w:rsidRDefault="003726C9" w:rsidP="003B6C3D">
      <w:pPr>
        <w:shd w:val="clear" w:color="auto" w:fill="FFFFFF"/>
        <w:spacing w:after="0" w:line="264" w:lineRule="atLeast"/>
        <w:ind w:firstLine="567"/>
        <w:jc w:val="center"/>
        <w:rPr>
          <w:rFonts w:ascii="Times New Roman" w:eastAsia="Times New Roman" w:hAnsi="Times New Roman" w:cs="Times New Roman"/>
          <w:b/>
          <w:bCs/>
          <w:lang w:eastAsia="uk-UA"/>
        </w:rPr>
      </w:pPr>
    </w:p>
    <w:p w:rsidR="0034720F" w:rsidRPr="003726C9" w:rsidRDefault="0093318E" w:rsidP="003726C9">
      <w:pPr>
        <w:pStyle w:val="ListParagraph"/>
        <w:numPr>
          <w:ilvl w:val="0"/>
          <w:numId w:val="5"/>
        </w:numPr>
        <w:spacing w:after="0"/>
        <w:ind w:left="0" w:firstLine="567"/>
        <w:jc w:val="both"/>
        <w:rPr>
          <w:rFonts w:ascii="Times New Roman" w:hAnsi="Times New Roman" w:cs="Times New Roman"/>
          <w:i/>
          <w:lang w:val="uk-UA"/>
        </w:rPr>
      </w:pPr>
      <w:r w:rsidRPr="003726C9">
        <w:rPr>
          <w:rFonts w:ascii="Times New Roman" w:hAnsi="Times New Roman" w:cs="Times New Roman"/>
          <w:i/>
          <w:lang w:val="uk-UA"/>
        </w:rPr>
        <w:t xml:space="preserve"> </w:t>
      </w:r>
      <w:r w:rsidR="0034720F" w:rsidRPr="003726C9">
        <w:rPr>
          <w:rFonts w:ascii="Times New Roman" w:hAnsi="Times New Roman" w:cs="Times New Roman"/>
          <w:i/>
          <w:lang w:val="uk-UA"/>
        </w:rPr>
        <w:t xml:space="preserve">Цимбалюк І. О. Податкова безпека держави / І. О. Цимбалюк, Н. В. Вишневська // Матеріали Міжнародної науково-практичної конференції «Теорія та практика управління </w:t>
      </w:r>
      <w:r w:rsidR="0034720F" w:rsidRPr="003726C9">
        <w:rPr>
          <w:rFonts w:ascii="Times New Roman" w:hAnsi="Times New Roman" w:cs="Times New Roman"/>
          <w:i/>
          <w:lang w:val="uk-UA"/>
        </w:rPr>
        <w:lastRenderedPageBreak/>
        <w:t>економічним розвитком» (м. Київ, 22-24 листопада 2012 року). – В 3 т. – Т.2. – Донецьк: ООО Друк-Инфо, 2012. – 305 с. – С. 133-135.</w:t>
      </w:r>
    </w:p>
    <w:p w:rsidR="00CA02DE" w:rsidRPr="003726C9" w:rsidRDefault="00CA02DE" w:rsidP="003726C9">
      <w:pPr>
        <w:pStyle w:val="ListParagraph"/>
        <w:numPr>
          <w:ilvl w:val="0"/>
          <w:numId w:val="5"/>
        </w:numPr>
        <w:spacing w:after="0"/>
        <w:ind w:left="0" w:firstLine="567"/>
        <w:jc w:val="both"/>
        <w:rPr>
          <w:rFonts w:ascii="Times New Roman" w:eastAsia="Times New Roman" w:hAnsi="Times New Roman" w:cs="Times New Roman"/>
          <w:i/>
          <w:iCs/>
          <w:lang w:val="uk-UA"/>
        </w:rPr>
      </w:pPr>
      <w:r w:rsidRPr="003726C9">
        <w:rPr>
          <w:rFonts w:ascii="Times New Roman" w:eastAsia="Times New Roman" w:hAnsi="Times New Roman" w:cs="Times New Roman"/>
          <w:i/>
          <w:iCs/>
          <w:lang w:val="uk-UA"/>
        </w:rPr>
        <w:t xml:space="preserve">Інформація Міністерства фінансів України щодо виконання Державного бюджетуУкраїни за 2004-2013 рр.. – Офіційний сайт Міністерства фінансів України. - [Електронний ресурс]. – Режим доступу: http://www.minfin.gov.ua/control/publish/article/main?art_id=368091&amp;cat_id=368090 </w:t>
      </w:r>
    </w:p>
    <w:p w:rsidR="00CA02DE" w:rsidRPr="003726C9" w:rsidRDefault="00CA02DE" w:rsidP="003726C9">
      <w:pPr>
        <w:pStyle w:val="ListParagraph"/>
        <w:numPr>
          <w:ilvl w:val="0"/>
          <w:numId w:val="5"/>
        </w:numPr>
        <w:spacing w:after="0"/>
        <w:ind w:left="0" w:firstLine="567"/>
        <w:jc w:val="both"/>
        <w:rPr>
          <w:rFonts w:ascii="Times New Roman" w:eastAsia="Times New Roman" w:hAnsi="Times New Roman" w:cs="Times New Roman"/>
          <w:i/>
          <w:iCs/>
          <w:lang w:val="uk-UA"/>
        </w:rPr>
      </w:pPr>
      <w:r w:rsidRPr="003726C9">
        <w:rPr>
          <w:rFonts w:ascii="Times New Roman" w:hAnsi="Times New Roman" w:cs="Times New Roman"/>
          <w:i/>
          <w:lang w:val="uk-UA"/>
        </w:rPr>
        <w:t xml:space="preserve">Інфографіка: тіньова економіка в Європі й Україні. – [Електронний ресурс]. – Режим доступу: </w:t>
      </w:r>
      <w:r w:rsidRPr="003726C9">
        <w:rPr>
          <w:rFonts w:ascii="Times New Roman" w:hAnsi="Times New Roman" w:cs="Times New Roman"/>
          <w:i/>
        </w:rPr>
        <w:t>http</w:t>
      </w:r>
      <w:r w:rsidRPr="003726C9">
        <w:rPr>
          <w:rFonts w:ascii="Times New Roman" w:hAnsi="Times New Roman" w:cs="Times New Roman"/>
          <w:i/>
          <w:lang w:val="uk-UA"/>
        </w:rPr>
        <w:t>://</w:t>
      </w:r>
      <w:r w:rsidRPr="003726C9">
        <w:rPr>
          <w:rFonts w:ascii="Times New Roman" w:hAnsi="Times New Roman" w:cs="Times New Roman"/>
          <w:i/>
        </w:rPr>
        <w:t>forbes</w:t>
      </w:r>
      <w:r w:rsidRPr="003726C9">
        <w:rPr>
          <w:rFonts w:ascii="Times New Roman" w:hAnsi="Times New Roman" w:cs="Times New Roman"/>
          <w:i/>
          <w:lang w:val="uk-UA"/>
        </w:rPr>
        <w:t>.</w:t>
      </w:r>
      <w:r w:rsidRPr="003726C9">
        <w:rPr>
          <w:rFonts w:ascii="Times New Roman" w:hAnsi="Times New Roman" w:cs="Times New Roman"/>
          <w:i/>
        </w:rPr>
        <w:t>ua</w:t>
      </w:r>
      <w:r w:rsidRPr="003726C9">
        <w:rPr>
          <w:rFonts w:ascii="Times New Roman" w:hAnsi="Times New Roman" w:cs="Times New Roman"/>
          <w:i/>
          <w:lang w:val="uk-UA"/>
        </w:rPr>
        <w:t>/</w:t>
      </w:r>
      <w:r w:rsidRPr="003726C9">
        <w:rPr>
          <w:rFonts w:ascii="Times New Roman" w:hAnsi="Times New Roman" w:cs="Times New Roman"/>
          <w:i/>
        </w:rPr>
        <w:t>ua</w:t>
      </w:r>
      <w:r w:rsidRPr="003726C9">
        <w:rPr>
          <w:rFonts w:ascii="Times New Roman" w:hAnsi="Times New Roman" w:cs="Times New Roman"/>
          <w:i/>
          <w:lang w:val="uk-UA"/>
        </w:rPr>
        <w:t>/</w:t>
      </w:r>
      <w:r w:rsidRPr="003726C9">
        <w:rPr>
          <w:rFonts w:ascii="Times New Roman" w:hAnsi="Times New Roman" w:cs="Times New Roman"/>
          <w:i/>
        </w:rPr>
        <w:t>nation</w:t>
      </w:r>
      <w:r w:rsidRPr="003726C9">
        <w:rPr>
          <w:rFonts w:ascii="Times New Roman" w:hAnsi="Times New Roman" w:cs="Times New Roman"/>
          <w:i/>
          <w:lang w:val="uk-UA"/>
        </w:rPr>
        <w:t>/1381353-</w:t>
      </w:r>
      <w:r w:rsidRPr="003726C9">
        <w:rPr>
          <w:rFonts w:ascii="Times New Roman" w:hAnsi="Times New Roman" w:cs="Times New Roman"/>
          <w:i/>
        </w:rPr>
        <w:t>infografika</w:t>
      </w:r>
      <w:r w:rsidRPr="003726C9">
        <w:rPr>
          <w:rFonts w:ascii="Times New Roman" w:hAnsi="Times New Roman" w:cs="Times New Roman"/>
          <w:i/>
          <w:lang w:val="uk-UA"/>
        </w:rPr>
        <w:t>-</w:t>
      </w:r>
      <w:r w:rsidRPr="003726C9">
        <w:rPr>
          <w:rFonts w:ascii="Times New Roman" w:hAnsi="Times New Roman" w:cs="Times New Roman"/>
          <w:i/>
        </w:rPr>
        <w:t>tinova</w:t>
      </w:r>
      <w:r w:rsidRPr="003726C9">
        <w:rPr>
          <w:rFonts w:ascii="Times New Roman" w:hAnsi="Times New Roman" w:cs="Times New Roman"/>
          <w:i/>
          <w:lang w:val="uk-UA"/>
        </w:rPr>
        <w:t>-</w:t>
      </w:r>
      <w:r w:rsidRPr="003726C9">
        <w:rPr>
          <w:rFonts w:ascii="Times New Roman" w:hAnsi="Times New Roman" w:cs="Times New Roman"/>
          <w:i/>
        </w:rPr>
        <w:t>ekonomika</w:t>
      </w:r>
      <w:r w:rsidRPr="003726C9">
        <w:rPr>
          <w:rFonts w:ascii="Times New Roman" w:hAnsi="Times New Roman" w:cs="Times New Roman"/>
          <w:i/>
          <w:lang w:val="uk-UA"/>
        </w:rPr>
        <w:t>-</w:t>
      </w:r>
      <w:r w:rsidRPr="003726C9">
        <w:rPr>
          <w:rFonts w:ascii="Times New Roman" w:hAnsi="Times New Roman" w:cs="Times New Roman"/>
          <w:i/>
        </w:rPr>
        <w:t>v</w:t>
      </w:r>
      <w:r w:rsidRPr="003726C9">
        <w:rPr>
          <w:rFonts w:ascii="Times New Roman" w:hAnsi="Times New Roman" w:cs="Times New Roman"/>
          <w:i/>
          <w:lang w:val="uk-UA"/>
        </w:rPr>
        <w:t>-</w:t>
      </w:r>
      <w:r w:rsidRPr="003726C9">
        <w:rPr>
          <w:rFonts w:ascii="Times New Roman" w:hAnsi="Times New Roman" w:cs="Times New Roman"/>
          <w:i/>
        </w:rPr>
        <w:t>evropi</w:t>
      </w:r>
      <w:r w:rsidRPr="003726C9">
        <w:rPr>
          <w:rFonts w:ascii="Times New Roman" w:hAnsi="Times New Roman" w:cs="Times New Roman"/>
          <w:i/>
          <w:lang w:val="uk-UA"/>
        </w:rPr>
        <w:t>-</w:t>
      </w:r>
      <w:r w:rsidRPr="003726C9">
        <w:rPr>
          <w:rFonts w:ascii="Times New Roman" w:hAnsi="Times New Roman" w:cs="Times New Roman"/>
          <w:i/>
        </w:rPr>
        <w:t>j</w:t>
      </w:r>
      <w:r w:rsidRPr="003726C9">
        <w:rPr>
          <w:rFonts w:ascii="Times New Roman" w:hAnsi="Times New Roman" w:cs="Times New Roman"/>
          <w:i/>
          <w:lang w:val="uk-UA"/>
        </w:rPr>
        <w:t>-</w:t>
      </w:r>
      <w:r w:rsidRPr="003726C9">
        <w:rPr>
          <w:rFonts w:ascii="Times New Roman" w:hAnsi="Times New Roman" w:cs="Times New Roman"/>
          <w:i/>
        </w:rPr>
        <w:t>ukrayini</w:t>
      </w:r>
    </w:p>
    <w:p w:rsidR="003726C9" w:rsidRPr="003726C9" w:rsidRDefault="004574FB" w:rsidP="003726C9">
      <w:pPr>
        <w:pStyle w:val="ListParagraph"/>
        <w:numPr>
          <w:ilvl w:val="0"/>
          <w:numId w:val="5"/>
        </w:numPr>
        <w:spacing w:after="0"/>
        <w:ind w:left="0" w:firstLine="567"/>
        <w:jc w:val="both"/>
        <w:rPr>
          <w:rFonts w:ascii="Times New Roman" w:eastAsia="Times New Roman" w:hAnsi="Times New Roman" w:cs="Times New Roman"/>
          <w:i/>
          <w:iCs/>
          <w:lang w:val="uk-UA"/>
        </w:rPr>
      </w:pPr>
      <w:r w:rsidRPr="003726C9">
        <w:rPr>
          <w:rFonts w:ascii="Times New Roman" w:hAnsi="Times New Roman" w:cs="Times New Roman"/>
          <w:i/>
          <w:lang w:val="uk-UA"/>
        </w:rPr>
        <w:t>Савка Н. Я. Проблеми ідентифікації штучних нейронних мереж з радіально-базисними функціями та можливі напрямки їх розв’язання / Н. Я. Савка, В. М. Спільчук, І. Я. Співак // Індуктивне моделювання складних систем. – 2010. – Вип. 2. – С. 181-193.</w:t>
      </w:r>
    </w:p>
    <w:p w:rsidR="003726C9" w:rsidRPr="003726C9" w:rsidRDefault="004574FB" w:rsidP="003726C9">
      <w:pPr>
        <w:pStyle w:val="ListParagraph"/>
        <w:numPr>
          <w:ilvl w:val="0"/>
          <w:numId w:val="5"/>
        </w:numPr>
        <w:spacing w:after="0"/>
        <w:ind w:left="0" w:firstLine="567"/>
        <w:jc w:val="both"/>
        <w:rPr>
          <w:rFonts w:ascii="Times New Roman" w:eastAsia="Times New Roman" w:hAnsi="Times New Roman" w:cs="Times New Roman"/>
          <w:i/>
          <w:iCs/>
          <w:lang w:val="uk-UA"/>
        </w:rPr>
      </w:pPr>
      <w:r w:rsidRPr="003726C9">
        <w:rPr>
          <w:rFonts w:ascii="Times New Roman" w:hAnsi="Times New Roman" w:cs="Times New Roman"/>
          <w:i/>
        </w:rPr>
        <w:t>Бодянский Е.В., Руденко О.Г. Искусственные нейронные сети: архитектуры, обучение, применения // Харьков: ТЕЛЕТЕХ, 2004. – 372 с.</w:t>
      </w:r>
    </w:p>
    <w:p w:rsidR="003726C9" w:rsidRPr="003726C9" w:rsidRDefault="004574FB" w:rsidP="003726C9">
      <w:pPr>
        <w:pStyle w:val="ListParagraph"/>
        <w:numPr>
          <w:ilvl w:val="0"/>
          <w:numId w:val="5"/>
        </w:numPr>
        <w:spacing w:after="0"/>
        <w:ind w:left="0" w:firstLine="567"/>
        <w:jc w:val="both"/>
        <w:rPr>
          <w:rFonts w:ascii="Times New Roman" w:eastAsia="Times New Roman" w:hAnsi="Times New Roman" w:cs="Times New Roman"/>
          <w:i/>
          <w:iCs/>
          <w:lang w:val="uk-UA"/>
        </w:rPr>
      </w:pPr>
      <w:r w:rsidRPr="003726C9">
        <w:rPr>
          <w:rFonts w:ascii="Times New Roman" w:hAnsi="Times New Roman" w:cs="Times New Roman"/>
          <w:i/>
          <w:lang w:val="uk-UA"/>
        </w:rPr>
        <w:t>Руденко О.Г., Бодянський Є.В. Штучні нейронні мережі:Навчальний посібник. – Харків: ТОВ “Компанія СМІТ”, 2006. – 404 с.</w:t>
      </w:r>
    </w:p>
    <w:p w:rsidR="004574FB" w:rsidRPr="003726C9" w:rsidRDefault="004574FB" w:rsidP="003726C9">
      <w:pPr>
        <w:pStyle w:val="ListParagraph"/>
        <w:numPr>
          <w:ilvl w:val="0"/>
          <w:numId w:val="5"/>
        </w:numPr>
        <w:spacing w:after="0"/>
        <w:ind w:left="0" w:firstLine="567"/>
        <w:jc w:val="both"/>
        <w:rPr>
          <w:rFonts w:ascii="Times New Roman" w:eastAsia="Times New Roman" w:hAnsi="Times New Roman" w:cs="Times New Roman"/>
          <w:i/>
          <w:iCs/>
          <w:lang w:val="uk-UA"/>
        </w:rPr>
      </w:pPr>
      <w:r w:rsidRPr="003726C9">
        <w:rPr>
          <w:rFonts w:ascii="Times New Roman" w:hAnsi="Times New Roman" w:cs="Times New Roman"/>
          <w:i/>
          <w:color w:val="000000"/>
          <w:lang w:val="uk-UA"/>
        </w:rPr>
        <w:t xml:space="preserve">Дивак М. П. </w:t>
      </w:r>
      <w:r w:rsidRPr="003726C9">
        <w:rPr>
          <w:rFonts w:ascii="Times New Roman" w:hAnsi="Times New Roman" w:cs="Times New Roman"/>
          <w:i/>
          <w:lang w:val="uk-UA"/>
        </w:rPr>
        <w:t xml:space="preserve">Метод ідентифікації вагових коефіцієнтів синаптичних зв’язків штучних нейронних мереж із радіально-базисними функціями на основі аналізу інтервальних даних / Дивак М. П., Савка Н. Я. // Наукові праці Донецького національного технічного університету. </w:t>
      </w:r>
      <w:r w:rsidRPr="003726C9">
        <w:rPr>
          <w:rFonts w:ascii="Times New Roman" w:hAnsi="Times New Roman" w:cs="Times New Roman"/>
          <w:i/>
        </w:rPr>
        <w:t>Серія «Інформатика, кібернетика та обчислювальна техніка». -2012 – Вип. 15 (203). – С. 132-139.</w:t>
      </w:r>
    </w:p>
    <w:p w:rsidR="00C565B6" w:rsidRPr="003726C9" w:rsidRDefault="00C565B6" w:rsidP="003B6C3D">
      <w:pPr>
        <w:shd w:val="clear" w:color="auto" w:fill="FFFFFF"/>
        <w:spacing w:after="0" w:line="264" w:lineRule="atLeast"/>
        <w:ind w:firstLine="567"/>
        <w:rPr>
          <w:rFonts w:ascii="Times New Roman" w:eastAsia="Times New Roman" w:hAnsi="Times New Roman" w:cs="Times New Roman"/>
          <w:lang w:eastAsia="uk-UA"/>
        </w:rPr>
      </w:pPr>
    </w:p>
    <w:p w:rsidR="005C7D57" w:rsidRPr="00C565B6" w:rsidRDefault="005C7D57" w:rsidP="001C6E09">
      <w:pPr>
        <w:spacing w:after="0" w:line="276" w:lineRule="auto"/>
        <w:rPr>
          <w:rFonts w:ascii="Times New Roman" w:hAnsi="Times New Roman" w:cs="Times New Roman"/>
          <w:i/>
          <w:iCs/>
          <w:shd w:val="clear" w:color="auto" w:fill="FFFFFF"/>
        </w:rPr>
      </w:pPr>
    </w:p>
    <w:p w:rsidR="001C6E09" w:rsidRPr="00C565B6" w:rsidRDefault="001C6E09" w:rsidP="001C6E09">
      <w:pPr>
        <w:spacing w:after="0" w:line="276" w:lineRule="auto"/>
        <w:rPr>
          <w:rFonts w:ascii="Times New Roman" w:hAnsi="Times New Roman" w:cs="Times New Roman"/>
          <w:i/>
          <w:iCs/>
          <w:shd w:val="clear" w:color="auto" w:fill="FFFFFF"/>
        </w:rPr>
      </w:pPr>
    </w:p>
    <w:p w:rsidR="001C6E09" w:rsidRPr="00C565B6" w:rsidRDefault="001C6E09" w:rsidP="001C6E09">
      <w:pPr>
        <w:spacing w:before="50" w:after="70" w:line="264" w:lineRule="auto"/>
        <w:ind w:left="1418" w:right="1304"/>
        <w:mirrorIndents/>
        <w:rPr>
          <w:b/>
        </w:rPr>
      </w:pPr>
    </w:p>
    <w:sectPr w:rsidR="001C6E09" w:rsidRPr="00C565B6" w:rsidSect="00C50B08">
      <w:pgSz w:w="11906" w:h="16838"/>
      <w:pgMar w:top="1418" w:right="1304"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1F" w:rsidRDefault="00534C1F" w:rsidP="002F69F5">
      <w:pPr>
        <w:spacing w:after="0" w:line="240" w:lineRule="auto"/>
      </w:pPr>
      <w:r>
        <w:separator/>
      </w:r>
    </w:p>
  </w:endnote>
  <w:endnote w:type="continuationSeparator" w:id="0">
    <w:p w:rsidR="00534C1F" w:rsidRDefault="00534C1F" w:rsidP="002F6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1F" w:rsidRDefault="00534C1F" w:rsidP="002F69F5">
      <w:pPr>
        <w:spacing w:after="0" w:line="240" w:lineRule="auto"/>
      </w:pPr>
      <w:r>
        <w:separator/>
      </w:r>
    </w:p>
  </w:footnote>
  <w:footnote w:type="continuationSeparator" w:id="0">
    <w:p w:rsidR="00534C1F" w:rsidRDefault="00534C1F" w:rsidP="002F6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C97"/>
    <w:multiLevelType w:val="hybridMultilevel"/>
    <w:tmpl w:val="29502C58"/>
    <w:lvl w:ilvl="0" w:tplc="AAAAC6EC">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
    <w:nsid w:val="19516762"/>
    <w:multiLevelType w:val="hybridMultilevel"/>
    <w:tmpl w:val="73BEB0CC"/>
    <w:lvl w:ilvl="0" w:tplc="9522B496">
      <w:numFmt w:val="bullet"/>
      <w:lvlText w:val="-"/>
      <w:lvlJc w:val="left"/>
      <w:pPr>
        <w:tabs>
          <w:tab w:val="num" w:pos="720"/>
        </w:tabs>
        <w:ind w:left="720" w:hanging="360"/>
      </w:pPr>
      <w:rPr>
        <w:rFonts w:ascii="Times New Roman" w:eastAsia="Times New Roman" w:hAnsi="Times New Roman" w:cs="Manga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3E6E3CA6"/>
    <w:multiLevelType w:val="hybridMultilevel"/>
    <w:tmpl w:val="B8867B10"/>
    <w:lvl w:ilvl="0" w:tplc="BFDCD1E4">
      <w:start w:val="1"/>
      <w:numFmt w:val="decimal"/>
      <w:lvlText w:val="%1."/>
      <w:lvlJc w:val="left"/>
      <w:pPr>
        <w:ind w:left="1407" w:hanging="795"/>
      </w:pPr>
      <w:rPr>
        <w:rFonts w:hint="default"/>
      </w:rPr>
    </w:lvl>
    <w:lvl w:ilvl="1" w:tplc="04220019" w:tentative="1">
      <w:start w:val="1"/>
      <w:numFmt w:val="lowerLetter"/>
      <w:lvlText w:val="%2."/>
      <w:lvlJc w:val="left"/>
      <w:pPr>
        <w:ind w:left="1692" w:hanging="360"/>
      </w:pPr>
    </w:lvl>
    <w:lvl w:ilvl="2" w:tplc="0422001B" w:tentative="1">
      <w:start w:val="1"/>
      <w:numFmt w:val="lowerRoman"/>
      <w:lvlText w:val="%3."/>
      <w:lvlJc w:val="right"/>
      <w:pPr>
        <w:ind w:left="2412" w:hanging="180"/>
      </w:pPr>
    </w:lvl>
    <w:lvl w:ilvl="3" w:tplc="0422000F" w:tentative="1">
      <w:start w:val="1"/>
      <w:numFmt w:val="decimal"/>
      <w:lvlText w:val="%4."/>
      <w:lvlJc w:val="left"/>
      <w:pPr>
        <w:ind w:left="3132" w:hanging="360"/>
      </w:pPr>
    </w:lvl>
    <w:lvl w:ilvl="4" w:tplc="04220019" w:tentative="1">
      <w:start w:val="1"/>
      <w:numFmt w:val="lowerLetter"/>
      <w:lvlText w:val="%5."/>
      <w:lvlJc w:val="left"/>
      <w:pPr>
        <w:ind w:left="3852" w:hanging="360"/>
      </w:pPr>
    </w:lvl>
    <w:lvl w:ilvl="5" w:tplc="0422001B" w:tentative="1">
      <w:start w:val="1"/>
      <w:numFmt w:val="lowerRoman"/>
      <w:lvlText w:val="%6."/>
      <w:lvlJc w:val="right"/>
      <w:pPr>
        <w:ind w:left="4572" w:hanging="180"/>
      </w:pPr>
    </w:lvl>
    <w:lvl w:ilvl="6" w:tplc="0422000F" w:tentative="1">
      <w:start w:val="1"/>
      <w:numFmt w:val="decimal"/>
      <w:lvlText w:val="%7."/>
      <w:lvlJc w:val="left"/>
      <w:pPr>
        <w:ind w:left="5292" w:hanging="360"/>
      </w:pPr>
    </w:lvl>
    <w:lvl w:ilvl="7" w:tplc="04220019" w:tentative="1">
      <w:start w:val="1"/>
      <w:numFmt w:val="lowerLetter"/>
      <w:lvlText w:val="%8."/>
      <w:lvlJc w:val="left"/>
      <w:pPr>
        <w:ind w:left="6012" w:hanging="360"/>
      </w:pPr>
    </w:lvl>
    <w:lvl w:ilvl="8" w:tplc="0422001B" w:tentative="1">
      <w:start w:val="1"/>
      <w:numFmt w:val="lowerRoman"/>
      <w:lvlText w:val="%9."/>
      <w:lvlJc w:val="right"/>
      <w:pPr>
        <w:ind w:left="6732" w:hanging="180"/>
      </w:pPr>
    </w:lvl>
  </w:abstractNum>
  <w:abstractNum w:abstractNumId="3">
    <w:nsid w:val="52F558FD"/>
    <w:multiLevelType w:val="hybridMultilevel"/>
    <w:tmpl w:val="4E9AEF26"/>
    <w:lvl w:ilvl="0" w:tplc="A2505D4A">
      <w:start w:val="6"/>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nsid w:val="66D24C7F"/>
    <w:multiLevelType w:val="hybridMultilevel"/>
    <w:tmpl w:val="00703812"/>
    <w:lvl w:ilvl="0" w:tplc="B9D00E54">
      <w:start w:val="1"/>
      <w:numFmt w:val="decimal"/>
      <w:lvlText w:val="%1."/>
      <w:lvlJc w:val="left"/>
      <w:pPr>
        <w:ind w:left="1725" w:hanging="1005"/>
      </w:pPr>
      <w:rPr>
        <w:rFonts w:eastAsia="Times New Roman" w:hint="default"/>
        <w:i/>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74F07187"/>
    <w:multiLevelType w:val="multilevel"/>
    <w:tmpl w:val="121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0B08"/>
    <w:rsid w:val="00033631"/>
    <w:rsid w:val="00075ADD"/>
    <w:rsid w:val="0009159E"/>
    <w:rsid w:val="000F1CB1"/>
    <w:rsid w:val="00103582"/>
    <w:rsid w:val="00107A1D"/>
    <w:rsid w:val="00110C40"/>
    <w:rsid w:val="001257D3"/>
    <w:rsid w:val="00171AF7"/>
    <w:rsid w:val="00180647"/>
    <w:rsid w:val="001C6E09"/>
    <w:rsid w:val="001E065A"/>
    <w:rsid w:val="00283DE2"/>
    <w:rsid w:val="002A6126"/>
    <w:rsid w:val="002E69C9"/>
    <w:rsid w:val="002F69F5"/>
    <w:rsid w:val="00344BE6"/>
    <w:rsid w:val="0034720F"/>
    <w:rsid w:val="00360391"/>
    <w:rsid w:val="00367822"/>
    <w:rsid w:val="00370782"/>
    <w:rsid w:val="003726C9"/>
    <w:rsid w:val="00374202"/>
    <w:rsid w:val="00374CAC"/>
    <w:rsid w:val="003B6C3D"/>
    <w:rsid w:val="003D4725"/>
    <w:rsid w:val="004154F5"/>
    <w:rsid w:val="004159F1"/>
    <w:rsid w:val="00433140"/>
    <w:rsid w:val="004409FA"/>
    <w:rsid w:val="004574FB"/>
    <w:rsid w:val="004B0147"/>
    <w:rsid w:val="00505B6E"/>
    <w:rsid w:val="00534C1F"/>
    <w:rsid w:val="005C41B3"/>
    <w:rsid w:val="005C66D8"/>
    <w:rsid w:val="005C7D57"/>
    <w:rsid w:val="00603168"/>
    <w:rsid w:val="00636A56"/>
    <w:rsid w:val="006922C6"/>
    <w:rsid w:val="006C7875"/>
    <w:rsid w:val="006E61E7"/>
    <w:rsid w:val="00702F3D"/>
    <w:rsid w:val="00702F86"/>
    <w:rsid w:val="00717E27"/>
    <w:rsid w:val="00772DB0"/>
    <w:rsid w:val="008D7FC6"/>
    <w:rsid w:val="008F1B73"/>
    <w:rsid w:val="009034B9"/>
    <w:rsid w:val="0093318E"/>
    <w:rsid w:val="00943100"/>
    <w:rsid w:val="009836B3"/>
    <w:rsid w:val="009875D9"/>
    <w:rsid w:val="0099465F"/>
    <w:rsid w:val="009E479A"/>
    <w:rsid w:val="00A264B7"/>
    <w:rsid w:val="00A42331"/>
    <w:rsid w:val="00A677D8"/>
    <w:rsid w:val="00A73591"/>
    <w:rsid w:val="00A73A22"/>
    <w:rsid w:val="00A7417F"/>
    <w:rsid w:val="00AC5AE4"/>
    <w:rsid w:val="00AF2404"/>
    <w:rsid w:val="00B036BE"/>
    <w:rsid w:val="00B4721D"/>
    <w:rsid w:val="00B732FD"/>
    <w:rsid w:val="00BC71B4"/>
    <w:rsid w:val="00BF3BA0"/>
    <w:rsid w:val="00C141E6"/>
    <w:rsid w:val="00C176FD"/>
    <w:rsid w:val="00C41876"/>
    <w:rsid w:val="00C43FC9"/>
    <w:rsid w:val="00C50B08"/>
    <w:rsid w:val="00C565B6"/>
    <w:rsid w:val="00C821A9"/>
    <w:rsid w:val="00CA02DE"/>
    <w:rsid w:val="00CB0DDC"/>
    <w:rsid w:val="00CD7365"/>
    <w:rsid w:val="00CD7FED"/>
    <w:rsid w:val="00D73795"/>
    <w:rsid w:val="00DC536E"/>
    <w:rsid w:val="00DE1CE7"/>
    <w:rsid w:val="00E00B52"/>
    <w:rsid w:val="00E11A61"/>
    <w:rsid w:val="00E16BB6"/>
    <w:rsid w:val="00E44BB2"/>
    <w:rsid w:val="00E538BF"/>
    <w:rsid w:val="00E62381"/>
    <w:rsid w:val="00E662B2"/>
    <w:rsid w:val="00E76EDE"/>
    <w:rsid w:val="00E7708B"/>
    <w:rsid w:val="00E82CB9"/>
    <w:rsid w:val="00EF34EF"/>
    <w:rsid w:val="00EF65C7"/>
    <w:rsid w:val="00F53037"/>
    <w:rsid w:val="00F642EE"/>
    <w:rsid w:val="00F91A4A"/>
    <w:rsid w:val="00FB3979"/>
    <w:rsid w:val="00FE0E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E09"/>
  </w:style>
  <w:style w:type="paragraph" w:styleId="NoSpacing">
    <w:name w:val="No Spacing"/>
    <w:uiPriority w:val="1"/>
    <w:qFormat/>
    <w:rsid w:val="001E065A"/>
    <w:pPr>
      <w:spacing w:after="0" w:line="240" w:lineRule="auto"/>
    </w:pPr>
    <w:rPr>
      <w:rFonts w:ascii="Calibri" w:eastAsia="Times New Roman" w:hAnsi="Calibri" w:cs="Times New Roman"/>
    </w:rPr>
  </w:style>
  <w:style w:type="paragraph" w:styleId="ListParagraph">
    <w:name w:val="List Paragraph"/>
    <w:basedOn w:val="Normal"/>
    <w:uiPriority w:val="34"/>
    <w:qFormat/>
    <w:rsid w:val="002E69C9"/>
    <w:pPr>
      <w:spacing w:after="200" w:line="276" w:lineRule="auto"/>
      <w:ind w:left="720"/>
      <w:contextualSpacing/>
    </w:pPr>
    <w:rPr>
      <w:rFonts w:eastAsiaTheme="minorEastAsia"/>
      <w:lang w:val="ru-RU" w:eastAsia="ru-RU"/>
    </w:rPr>
  </w:style>
  <w:style w:type="character" w:styleId="Hyperlink">
    <w:name w:val="Hyperlink"/>
    <w:basedOn w:val="DefaultParagraphFont"/>
    <w:unhideWhenUsed/>
    <w:rsid w:val="002E69C9"/>
    <w:rPr>
      <w:color w:val="0000FF"/>
      <w:u w:val="single"/>
    </w:rPr>
  </w:style>
  <w:style w:type="paragraph" w:styleId="BalloonText">
    <w:name w:val="Balloon Text"/>
    <w:basedOn w:val="Normal"/>
    <w:link w:val="BalloonTextChar"/>
    <w:uiPriority w:val="99"/>
    <w:semiHidden/>
    <w:unhideWhenUsed/>
    <w:rsid w:val="00E6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B2"/>
    <w:rPr>
      <w:rFonts w:ascii="Tahoma" w:hAnsi="Tahoma" w:cs="Tahoma"/>
      <w:sz w:val="16"/>
      <w:szCs w:val="16"/>
    </w:rPr>
  </w:style>
  <w:style w:type="paragraph" w:styleId="Header">
    <w:name w:val="header"/>
    <w:basedOn w:val="Normal"/>
    <w:link w:val="HeaderChar"/>
    <w:uiPriority w:val="99"/>
    <w:semiHidden/>
    <w:unhideWhenUsed/>
    <w:rsid w:val="002F69F5"/>
    <w:pPr>
      <w:tabs>
        <w:tab w:val="center" w:pos="4819"/>
        <w:tab w:val="right" w:pos="9639"/>
      </w:tabs>
      <w:spacing w:after="0" w:line="240" w:lineRule="auto"/>
    </w:pPr>
  </w:style>
  <w:style w:type="character" w:customStyle="1" w:styleId="HeaderChar">
    <w:name w:val="Header Char"/>
    <w:basedOn w:val="DefaultParagraphFont"/>
    <w:link w:val="Header"/>
    <w:uiPriority w:val="99"/>
    <w:semiHidden/>
    <w:rsid w:val="002F69F5"/>
  </w:style>
  <w:style w:type="paragraph" w:styleId="Footer">
    <w:name w:val="footer"/>
    <w:basedOn w:val="Normal"/>
    <w:link w:val="FooterChar"/>
    <w:uiPriority w:val="99"/>
    <w:semiHidden/>
    <w:unhideWhenUsed/>
    <w:rsid w:val="002F69F5"/>
    <w:pPr>
      <w:tabs>
        <w:tab w:val="center" w:pos="4819"/>
        <w:tab w:val="right" w:pos="9639"/>
      </w:tabs>
      <w:spacing w:after="0" w:line="240" w:lineRule="auto"/>
    </w:pPr>
  </w:style>
  <w:style w:type="character" w:customStyle="1" w:styleId="FooterChar">
    <w:name w:val="Footer Char"/>
    <w:basedOn w:val="DefaultParagraphFont"/>
    <w:link w:val="Footer"/>
    <w:uiPriority w:val="99"/>
    <w:semiHidden/>
    <w:rsid w:val="002F69F5"/>
  </w:style>
  <w:style w:type="paragraph" w:styleId="BodyTextIndent2">
    <w:name w:val="Body Text Indent 2"/>
    <w:basedOn w:val="Normal"/>
    <w:link w:val="BodyTextIndent2Char"/>
    <w:rsid w:val="003B6C3D"/>
    <w:pPr>
      <w:autoSpaceDE w:val="0"/>
      <w:autoSpaceDN w:val="0"/>
      <w:adjustRightInd w:val="0"/>
      <w:spacing w:after="0" w:line="360" w:lineRule="auto"/>
      <w:ind w:firstLine="567"/>
      <w:jc w:val="both"/>
    </w:pPr>
    <w:rPr>
      <w:rFonts w:ascii="Times New Roman" w:eastAsia="Times New Roman" w:hAnsi="Times New Roman" w:cs="Times New Roman"/>
      <w:sz w:val="28"/>
      <w:szCs w:val="20"/>
      <w:lang w:eastAsia="uk-UA"/>
    </w:rPr>
  </w:style>
  <w:style w:type="character" w:customStyle="1" w:styleId="BodyTextIndent2Char">
    <w:name w:val="Body Text Indent 2 Char"/>
    <w:basedOn w:val="DefaultParagraphFont"/>
    <w:link w:val="BodyTextIndent2"/>
    <w:rsid w:val="003B6C3D"/>
    <w:rPr>
      <w:rFonts w:ascii="Times New Roman" w:eastAsia="Times New Roman" w:hAnsi="Times New Roman" w:cs="Times New Roman"/>
      <w:sz w:val="28"/>
      <w:szCs w:val="20"/>
      <w:lang w:eastAsia="uk-UA"/>
    </w:rPr>
  </w:style>
  <w:style w:type="character" w:customStyle="1" w:styleId="longtext1">
    <w:name w:val="long_text1"/>
    <w:basedOn w:val="DefaultParagraphFont"/>
    <w:rsid w:val="00E7708B"/>
    <w:rPr>
      <w:sz w:val="20"/>
      <w:szCs w:val="20"/>
    </w:rPr>
  </w:style>
  <w:style w:type="paragraph" w:customStyle="1" w:styleId="SL">
    <w:name w:val="SL"/>
    <w:basedOn w:val="Normal"/>
    <w:autoRedefine/>
    <w:rsid w:val="004574FB"/>
    <w:pPr>
      <w:widowControl w:val="0"/>
      <w:spacing w:after="0" w:line="240" w:lineRule="auto"/>
      <w:ind w:firstLine="720"/>
      <w:jc w:val="both"/>
    </w:pPr>
    <w:rPr>
      <w:rFonts w:ascii="Times New Roman" w:eastAsia="Times New Roman" w:hAnsi="Times New Roman" w:cs="Times New Roman"/>
      <w:i/>
      <w:iCs/>
      <w:sz w:val="24"/>
      <w:szCs w:val="24"/>
      <w:lang w:eastAsia="ru-RU"/>
    </w:rPr>
  </w:style>
  <w:style w:type="character" w:styleId="FollowedHyperlink">
    <w:name w:val="FollowedHyperlink"/>
    <w:basedOn w:val="DefaultParagraphFont"/>
    <w:uiPriority w:val="99"/>
    <w:semiHidden/>
    <w:unhideWhenUsed/>
    <w:rsid w:val="004574F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584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diagramColors" Target="diagrams/colors2.xml"/><Relationship Id="rId26" Type="http://schemas.openxmlformats.org/officeDocument/2006/relationships/image" Target="media/image4.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image" Target="media/image12.emf"/><Relationship Id="rId47" Type="http://schemas.openxmlformats.org/officeDocument/2006/relationships/image" Target="media/image15.wmf"/><Relationship Id="rId50" Type="http://schemas.openxmlformats.org/officeDocument/2006/relationships/oleObject" Target="embeddings/oleObject15.bin"/><Relationship Id="rId55" Type="http://schemas.openxmlformats.org/officeDocument/2006/relationships/image" Target="media/image19.wmf"/><Relationship Id="rId63" Type="http://schemas.openxmlformats.org/officeDocument/2006/relationships/image" Target="media/image22.wmf"/><Relationship Id="rId68" Type="http://schemas.openxmlformats.org/officeDocument/2006/relationships/oleObject" Target="embeddings/oleObject25.bin"/><Relationship Id="rId76" Type="http://schemas.openxmlformats.org/officeDocument/2006/relationships/oleObject" Target="embeddings/oleObject29.bin"/><Relationship Id="rId7" Type="http://schemas.openxmlformats.org/officeDocument/2006/relationships/endnotes" Target="endnotes.xml"/><Relationship Id="rId71"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oleObject" Target="embeddings/oleObject5.bin"/><Relationship Id="rId11" Type="http://schemas.openxmlformats.org/officeDocument/2006/relationships/diagramColors" Target="diagrams/colors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1.wmf"/><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oleObject" Target="embeddings/oleObject6.bin"/><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1.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image" Target="media/image13.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3.bin"/><Relationship Id="rId69" Type="http://schemas.openxmlformats.org/officeDocument/2006/relationships/image" Target="media/image25.wmf"/><Relationship Id="rId77" Type="http://schemas.openxmlformats.org/officeDocument/2006/relationships/image" Target="media/image29.emf"/><Relationship Id="rId8" Type="http://schemas.openxmlformats.org/officeDocument/2006/relationships/diagramData" Target="diagrams/data1.xml"/><Relationship Id="rId51" Type="http://schemas.openxmlformats.org/officeDocument/2006/relationships/image" Target="media/image17.wmf"/><Relationship Id="rId72" Type="http://schemas.openxmlformats.org/officeDocument/2006/relationships/oleObject" Target="embeddings/oleObject27.bin"/><Relationship Id="rId80"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oleObject" Target="embeddings/oleObject13.bin"/><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image" Target="media/image1.wmf"/><Relationship Id="rId41" Type="http://schemas.openxmlformats.org/officeDocument/2006/relationships/oleObject" Target="embeddings/oleObject11.bin"/><Relationship Id="rId54" Type="http://schemas.openxmlformats.org/officeDocument/2006/relationships/oleObject" Target="embeddings/oleObject17.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6.wmf"/><Relationship Id="rId57" Type="http://schemas.openxmlformats.org/officeDocument/2006/relationships/oleObject" Target="embeddings/oleObject19.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
  <c:chart>
    <c:title>
      <c:tx>
        <c:rich>
          <a:bodyPr/>
          <a:lstStyle/>
          <a:p>
            <a:pPr>
              <a:defRPr/>
            </a:pPr>
            <a:r>
              <a:rPr lang="ru-RU"/>
              <a:t>рівень  податкового навантаження, %</a:t>
            </a:r>
          </a:p>
        </c:rich>
      </c:tx>
    </c:title>
    <c:plotArea>
      <c:layout/>
      <c:lineChart>
        <c:grouping val="standard"/>
        <c:ser>
          <c:idx val="0"/>
          <c:order val="0"/>
          <c:tx>
            <c:strRef>
              <c:f>Лист1!$B$1</c:f>
              <c:strCache>
                <c:ptCount val="1"/>
                <c:pt idx="0">
                  <c:v>рівень  податкового навантаження, %</c:v>
                </c:pt>
              </c:strCache>
            </c:strRef>
          </c:tx>
          <c:marker>
            <c:symbol val="none"/>
          </c:marker>
          <c:dLbls>
            <c:dLblPos val="ctr"/>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Лист1!$B$2:$B$11</c:f>
              <c:numCache>
                <c:formatCode>General</c:formatCode>
                <c:ptCount val="10"/>
                <c:pt idx="0">
                  <c:v>11.3</c:v>
                </c:pt>
                <c:pt idx="1">
                  <c:v>22.1</c:v>
                </c:pt>
                <c:pt idx="2">
                  <c:v>23.1</c:v>
                </c:pt>
                <c:pt idx="3">
                  <c:v>22.6</c:v>
                </c:pt>
                <c:pt idx="4">
                  <c:v>24</c:v>
                </c:pt>
                <c:pt idx="5">
                  <c:v>22.8</c:v>
                </c:pt>
                <c:pt idx="6">
                  <c:v>21.4</c:v>
                </c:pt>
                <c:pt idx="7">
                  <c:v>25.5</c:v>
                </c:pt>
                <c:pt idx="8">
                  <c:v>20.100000000000001</c:v>
                </c:pt>
                <c:pt idx="9">
                  <c:v>26</c:v>
                </c:pt>
              </c:numCache>
            </c:numRef>
          </c:val>
        </c:ser>
        <c:ser>
          <c:idx val="1"/>
          <c:order val="1"/>
          <c:tx>
            <c:strRef>
              <c:f>Лист1!$C$1</c:f>
              <c:strCache>
                <c:ptCount val="1"/>
                <c:pt idx="0">
                  <c:v>верхнє порогове</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Лист1!$C$2:$C$11</c:f>
              <c:numCache>
                <c:formatCode>General</c:formatCode>
                <c:ptCount val="10"/>
                <c:pt idx="0">
                  <c:v>44</c:v>
                </c:pt>
                <c:pt idx="1">
                  <c:v>44</c:v>
                </c:pt>
                <c:pt idx="2">
                  <c:v>44</c:v>
                </c:pt>
                <c:pt idx="3">
                  <c:v>44</c:v>
                </c:pt>
                <c:pt idx="4">
                  <c:v>44</c:v>
                </c:pt>
                <c:pt idx="5">
                  <c:v>44</c:v>
                </c:pt>
                <c:pt idx="6">
                  <c:v>44</c:v>
                </c:pt>
                <c:pt idx="7">
                  <c:v>44</c:v>
                </c:pt>
                <c:pt idx="8">
                  <c:v>44</c:v>
                </c:pt>
                <c:pt idx="9">
                  <c:v>44</c:v>
                </c:pt>
              </c:numCache>
            </c:numRef>
          </c:val>
        </c:ser>
        <c:ser>
          <c:idx val="2"/>
          <c:order val="2"/>
          <c:tx>
            <c:strRef>
              <c:f>Лист1!$D$1</c:f>
              <c:strCache>
                <c:ptCount val="1"/>
                <c:pt idx="0">
                  <c:v>верхнє оптимальне</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Лист1!$D$2:$D$11</c:f>
              <c:numCache>
                <c:formatCode>General</c:formatCode>
                <c:ptCount val="10"/>
                <c:pt idx="0">
                  <c:v>29</c:v>
                </c:pt>
                <c:pt idx="1">
                  <c:v>29</c:v>
                </c:pt>
                <c:pt idx="2">
                  <c:v>29</c:v>
                </c:pt>
                <c:pt idx="3">
                  <c:v>29</c:v>
                </c:pt>
                <c:pt idx="4">
                  <c:v>29</c:v>
                </c:pt>
                <c:pt idx="5">
                  <c:v>29</c:v>
                </c:pt>
                <c:pt idx="6">
                  <c:v>29</c:v>
                </c:pt>
                <c:pt idx="7">
                  <c:v>29</c:v>
                </c:pt>
                <c:pt idx="8">
                  <c:v>29</c:v>
                </c:pt>
                <c:pt idx="9">
                  <c:v>29</c:v>
                </c:pt>
              </c:numCache>
            </c:numRef>
          </c:val>
        </c:ser>
        <c:ser>
          <c:idx val="3"/>
          <c:order val="3"/>
          <c:tx>
            <c:strRef>
              <c:f>Лист1!$E$1</c:f>
              <c:strCache>
                <c:ptCount val="1"/>
                <c:pt idx="0">
                  <c:v>нижнє оптимальне</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Лист1!$E$2:$E$11</c:f>
              <c:numCache>
                <c:formatCode>General</c:formatCode>
                <c:ptCount val="10"/>
                <c:pt idx="0">
                  <c:v>20</c:v>
                </c:pt>
                <c:pt idx="1">
                  <c:v>20</c:v>
                </c:pt>
                <c:pt idx="2">
                  <c:v>20</c:v>
                </c:pt>
                <c:pt idx="3">
                  <c:v>20</c:v>
                </c:pt>
                <c:pt idx="4">
                  <c:v>20</c:v>
                </c:pt>
                <c:pt idx="5">
                  <c:v>20</c:v>
                </c:pt>
                <c:pt idx="6">
                  <c:v>20</c:v>
                </c:pt>
                <c:pt idx="7">
                  <c:v>20</c:v>
                </c:pt>
                <c:pt idx="8">
                  <c:v>20</c:v>
                </c:pt>
                <c:pt idx="9">
                  <c:v>20</c:v>
                </c:pt>
              </c:numCache>
            </c:numRef>
          </c:val>
        </c:ser>
        <c:ser>
          <c:idx val="4"/>
          <c:order val="4"/>
          <c:tx>
            <c:strRef>
              <c:f>Лист1!$F$1</c:f>
              <c:strCache>
                <c:ptCount val="1"/>
                <c:pt idx="0">
                  <c:v>нижнє порогове</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Лист1!$F$2:$F$11</c:f>
              <c:numCache>
                <c:formatCode>General</c:formatCode>
                <c:ptCount val="10"/>
                <c:pt idx="0">
                  <c:v>15</c:v>
                </c:pt>
                <c:pt idx="1">
                  <c:v>15</c:v>
                </c:pt>
                <c:pt idx="2">
                  <c:v>15</c:v>
                </c:pt>
                <c:pt idx="3">
                  <c:v>15</c:v>
                </c:pt>
                <c:pt idx="4">
                  <c:v>15</c:v>
                </c:pt>
                <c:pt idx="5">
                  <c:v>15</c:v>
                </c:pt>
                <c:pt idx="6">
                  <c:v>15</c:v>
                </c:pt>
                <c:pt idx="7">
                  <c:v>15</c:v>
                </c:pt>
                <c:pt idx="8">
                  <c:v>15</c:v>
                </c:pt>
                <c:pt idx="9">
                  <c:v>15</c:v>
                </c:pt>
              </c:numCache>
            </c:numRef>
          </c:val>
        </c:ser>
        <c:marker val="1"/>
        <c:axId val="105588608"/>
        <c:axId val="105590144"/>
      </c:lineChart>
      <c:catAx>
        <c:axId val="105588608"/>
        <c:scaling>
          <c:orientation val="minMax"/>
        </c:scaling>
        <c:axPos val="b"/>
        <c:numFmt formatCode="General" sourceLinked="1"/>
        <c:tickLblPos val="nextTo"/>
        <c:crossAx val="105590144"/>
        <c:crosses val="autoZero"/>
        <c:auto val="1"/>
        <c:lblAlgn val="ctr"/>
        <c:lblOffset val="100"/>
      </c:catAx>
      <c:valAx>
        <c:axId val="105590144"/>
        <c:scaling>
          <c:orientation val="minMax"/>
        </c:scaling>
        <c:axPos val="l"/>
        <c:majorGridlines/>
        <c:numFmt formatCode="General" sourceLinked="1"/>
        <c:tickLblPos val="nextTo"/>
        <c:crossAx val="1055886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
  <c:chart>
    <c:plotArea>
      <c:layout/>
      <c:lineChart>
        <c:grouping val="standard"/>
        <c:ser>
          <c:idx val="0"/>
          <c:order val="0"/>
          <c:tx>
            <c:strRef>
              <c:f>Лист1!$B$1</c:f>
              <c:strCache>
                <c:ptCount val="1"/>
                <c:pt idx="0">
                  <c:v>обсяги тіньової економіки, %</c:v>
                </c:pt>
              </c:strCache>
            </c:strRef>
          </c:tx>
          <c:marker>
            <c:symbol val="none"/>
          </c:marker>
          <c:dLbls>
            <c:dLblPos val="ctr"/>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Лист1!$B$2:$B$11</c:f>
              <c:numCache>
                <c:formatCode>General</c:formatCode>
                <c:ptCount val="10"/>
                <c:pt idx="0">
                  <c:v>28</c:v>
                </c:pt>
                <c:pt idx="1">
                  <c:v>28</c:v>
                </c:pt>
                <c:pt idx="2">
                  <c:v>28</c:v>
                </c:pt>
                <c:pt idx="3">
                  <c:v>29</c:v>
                </c:pt>
                <c:pt idx="4">
                  <c:v>35</c:v>
                </c:pt>
                <c:pt idx="5">
                  <c:v>40</c:v>
                </c:pt>
                <c:pt idx="6">
                  <c:v>38</c:v>
                </c:pt>
                <c:pt idx="7">
                  <c:v>34</c:v>
                </c:pt>
                <c:pt idx="8">
                  <c:v>36</c:v>
                </c:pt>
                <c:pt idx="9">
                  <c:v>40</c:v>
                </c:pt>
              </c:numCache>
            </c:numRef>
          </c:val>
        </c:ser>
        <c:ser>
          <c:idx val="1"/>
          <c:order val="1"/>
          <c:tx>
            <c:strRef>
              <c:f>Лист1!$C$1</c:f>
              <c:strCache>
                <c:ptCount val="1"/>
                <c:pt idx="0">
                  <c:v>верхнє порогове</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layout>
                <c:manualLayout>
                  <c:x val="-6.8006182380216301E-2"/>
                  <c:y val="-3.6890645586298003E-2"/>
                </c:manualLayout>
              </c:layout>
              <c:showVal val="1"/>
            </c:dLbl>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Лист1!$C$2:$C$11</c:f>
              <c:numCache>
                <c:formatCode>General</c:formatCode>
                <c:ptCount val="10"/>
                <c:pt idx="0">
                  <c:v>5</c:v>
                </c:pt>
                <c:pt idx="1">
                  <c:v>5</c:v>
                </c:pt>
                <c:pt idx="2">
                  <c:v>5</c:v>
                </c:pt>
                <c:pt idx="3">
                  <c:v>5</c:v>
                </c:pt>
                <c:pt idx="4">
                  <c:v>5</c:v>
                </c:pt>
                <c:pt idx="5">
                  <c:v>5</c:v>
                </c:pt>
                <c:pt idx="6">
                  <c:v>5</c:v>
                </c:pt>
                <c:pt idx="7">
                  <c:v>5</c:v>
                </c:pt>
                <c:pt idx="8">
                  <c:v>5</c:v>
                </c:pt>
                <c:pt idx="9">
                  <c:v>5</c:v>
                </c:pt>
              </c:numCache>
            </c:numRef>
          </c:val>
        </c:ser>
        <c:ser>
          <c:idx val="2"/>
          <c:order val="2"/>
          <c:tx>
            <c:strRef>
              <c:f>Лист1!$D$1</c:f>
              <c:strCache>
                <c:ptCount val="1"/>
                <c:pt idx="0">
                  <c:v>верхнє оптимаьне</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layout>
                <c:manualLayout>
                  <c:x val="-9.6857290056671763E-2"/>
                  <c:y val="-2.1080368906455812E-2"/>
                </c:manualLayout>
              </c:layout>
              <c:showVal val="1"/>
            </c:dLbl>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Лист1!$D$2:$D$11</c:f>
              <c:numCache>
                <c:formatCode>General</c:formatCode>
                <c:ptCount val="10"/>
                <c:pt idx="0">
                  <c:v>2</c:v>
                </c:pt>
                <c:pt idx="1">
                  <c:v>2</c:v>
                </c:pt>
                <c:pt idx="2">
                  <c:v>2</c:v>
                </c:pt>
                <c:pt idx="3">
                  <c:v>2</c:v>
                </c:pt>
                <c:pt idx="4">
                  <c:v>2</c:v>
                </c:pt>
                <c:pt idx="5">
                  <c:v>2</c:v>
                </c:pt>
                <c:pt idx="6">
                  <c:v>2</c:v>
                </c:pt>
                <c:pt idx="7">
                  <c:v>2</c:v>
                </c:pt>
                <c:pt idx="8">
                  <c:v>2</c:v>
                </c:pt>
                <c:pt idx="9">
                  <c:v>2</c:v>
                </c:pt>
              </c:numCache>
            </c:numRef>
          </c:val>
        </c:ser>
        <c:ser>
          <c:idx val="3"/>
          <c:order val="3"/>
          <c:tx>
            <c:strRef>
              <c:f>Лист1!$E$1</c:f>
              <c:strCache>
                <c:ptCount val="1"/>
                <c:pt idx="0">
                  <c:v>нижнє оптимальне</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Лист1!$E$2:$E$11</c:f>
              <c:numCache>
                <c:formatCode>General</c:formatCode>
                <c:ptCount val="10"/>
                <c:pt idx="0">
                  <c:v>0.5</c:v>
                </c:pt>
                <c:pt idx="1">
                  <c:v>0.5</c:v>
                </c:pt>
                <c:pt idx="2">
                  <c:v>0.5</c:v>
                </c:pt>
                <c:pt idx="3">
                  <c:v>0.5</c:v>
                </c:pt>
                <c:pt idx="4">
                  <c:v>0.5</c:v>
                </c:pt>
                <c:pt idx="5">
                  <c:v>0.5</c:v>
                </c:pt>
                <c:pt idx="6">
                  <c:v>0.5</c:v>
                </c:pt>
                <c:pt idx="7">
                  <c:v>0.5</c:v>
                </c:pt>
                <c:pt idx="8">
                  <c:v>0.5</c:v>
                </c:pt>
                <c:pt idx="9">
                  <c:v>0.5</c:v>
                </c:pt>
              </c:numCache>
            </c:numRef>
          </c:val>
        </c:ser>
        <c:ser>
          <c:idx val="4"/>
          <c:order val="4"/>
          <c:tx>
            <c:strRef>
              <c:f>Лист1!$F$1</c:f>
              <c:strCache>
                <c:ptCount val="1"/>
                <c:pt idx="0">
                  <c:v>нижнє порогове</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layout>
                <c:manualLayout>
                  <c:x val="0"/>
                  <c:y val="1.5810276679841896E-2"/>
                </c:manualLayout>
              </c:layout>
              <c:showVal val="1"/>
            </c:dLbl>
            <c:dLbl>
              <c:idx val="9"/>
              <c:delete val="1"/>
            </c:dLbl>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Лист1!$F$2:$F$11</c:f>
              <c:numCache>
                <c:formatCode>General</c:formatCode>
                <c:ptCount val="10"/>
                <c:pt idx="0">
                  <c:v>0.1</c:v>
                </c:pt>
                <c:pt idx="1">
                  <c:v>0.1</c:v>
                </c:pt>
                <c:pt idx="2">
                  <c:v>0.1</c:v>
                </c:pt>
                <c:pt idx="3">
                  <c:v>0.1</c:v>
                </c:pt>
                <c:pt idx="4">
                  <c:v>0.1</c:v>
                </c:pt>
                <c:pt idx="5">
                  <c:v>0.1</c:v>
                </c:pt>
                <c:pt idx="6">
                  <c:v>0.1</c:v>
                </c:pt>
                <c:pt idx="7">
                  <c:v>0.1</c:v>
                </c:pt>
                <c:pt idx="8">
                  <c:v>0.1</c:v>
                </c:pt>
                <c:pt idx="9">
                  <c:v>0.1</c:v>
                </c:pt>
              </c:numCache>
            </c:numRef>
          </c:val>
        </c:ser>
        <c:marker val="1"/>
        <c:axId val="106332544"/>
        <c:axId val="106334080"/>
      </c:lineChart>
      <c:catAx>
        <c:axId val="106332544"/>
        <c:scaling>
          <c:orientation val="minMax"/>
        </c:scaling>
        <c:axPos val="b"/>
        <c:numFmt formatCode="General" sourceLinked="1"/>
        <c:tickLblPos val="nextTo"/>
        <c:crossAx val="106334080"/>
        <c:crosses val="autoZero"/>
        <c:auto val="1"/>
        <c:lblAlgn val="ctr"/>
        <c:lblOffset val="100"/>
      </c:catAx>
      <c:valAx>
        <c:axId val="106334080"/>
        <c:scaling>
          <c:orientation val="minMax"/>
        </c:scaling>
        <c:axPos val="l"/>
        <c:majorGridlines/>
        <c:numFmt formatCode="General" sourceLinked="1"/>
        <c:tickLblPos val="nextTo"/>
        <c:crossAx val="106332544"/>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4E7FBF-C4AC-4D59-972F-F159C2A4B4F5}"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CC3AD301-A8F3-4C2A-B99B-65CF3D82EFA5}">
      <dgm:prSet phldrT="[Текст]" custT="1"/>
      <dgm:spPr/>
      <dgm:t>
        <a:bodyPr/>
        <a:lstStyle/>
        <a:p>
          <a:pPr algn="ctr"/>
          <a:r>
            <a:rPr lang="ru-RU" sz="1100">
              <a:solidFill>
                <a:sysClr val="windowText" lastClr="000000"/>
              </a:solidFill>
            </a:rPr>
            <a:t>Структурно-логічний аналіз чутливості ФБД до ПБ</a:t>
          </a:r>
        </a:p>
      </dgm:t>
    </dgm:pt>
    <dgm:pt modelId="{EEE685EA-2474-47F7-ADF9-945B8679C97B}" type="parTrans" cxnId="{C926D47C-2C2F-45CA-BAAF-DCA582F323C8}">
      <dgm:prSet/>
      <dgm:spPr/>
      <dgm:t>
        <a:bodyPr/>
        <a:lstStyle/>
        <a:p>
          <a:endParaRPr lang="ru-RU"/>
        </a:p>
      </dgm:t>
    </dgm:pt>
    <dgm:pt modelId="{157FAB3E-5A1D-458A-919F-A6EB7CBF6FAE}" type="sibTrans" cxnId="{C926D47C-2C2F-45CA-BAAF-DCA582F323C8}">
      <dgm:prSet/>
      <dgm:spPr/>
      <dgm:t>
        <a:bodyPr/>
        <a:lstStyle/>
        <a:p>
          <a:endParaRPr lang="ru-RU"/>
        </a:p>
      </dgm:t>
    </dgm:pt>
    <dgm:pt modelId="{D18E672C-CEB8-4DCF-A3BB-050AA4A23B47}">
      <dgm:prSet phldrT="[Текст]"/>
      <dgm:spPr/>
      <dgm:t>
        <a:bodyPr/>
        <a:lstStyle/>
        <a:p>
          <a:r>
            <a:rPr lang="ru-RU"/>
            <a:t>І.</a:t>
          </a:r>
        </a:p>
        <a:p>
          <a:r>
            <a:rPr lang="ru-RU"/>
            <a:t>Збір та статистична оброка інформації про рівень податкової заборгованості</a:t>
          </a:r>
        </a:p>
      </dgm:t>
    </dgm:pt>
    <dgm:pt modelId="{1F46468E-D340-4FF2-8AC9-F61D602D8691}" type="parTrans" cxnId="{982C7FC9-3B57-49BA-9CE9-A8BF652E9C08}">
      <dgm:prSet/>
      <dgm:spPr/>
      <dgm:t>
        <a:bodyPr/>
        <a:lstStyle/>
        <a:p>
          <a:endParaRPr lang="ru-RU"/>
        </a:p>
      </dgm:t>
    </dgm:pt>
    <dgm:pt modelId="{006D9904-74FA-486D-9B1D-4B8ADDB35104}" type="sibTrans" cxnId="{982C7FC9-3B57-49BA-9CE9-A8BF652E9C08}">
      <dgm:prSet/>
      <dgm:spPr/>
      <dgm:t>
        <a:bodyPr/>
        <a:lstStyle/>
        <a:p>
          <a:endParaRPr lang="ru-RU"/>
        </a:p>
      </dgm:t>
    </dgm:pt>
    <dgm:pt modelId="{32D1FD14-7682-4335-BFC7-E47729BA818B}">
      <dgm:prSet phldrT="[Текст]"/>
      <dgm:spPr/>
      <dgm:t>
        <a:bodyPr/>
        <a:lstStyle/>
        <a:p>
          <a:r>
            <a:rPr lang="ru-RU"/>
            <a:t>ІІ.</a:t>
          </a:r>
        </a:p>
        <a:p>
          <a:r>
            <a:rPr lang="ru-RU"/>
            <a:t>Збір, статистична оброка інформації фінансовий стан держави </a:t>
          </a:r>
        </a:p>
      </dgm:t>
    </dgm:pt>
    <dgm:pt modelId="{A0E0F349-7394-4428-A259-FEC9AA1394B7}" type="parTrans" cxnId="{5661CEAA-23BE-4256-81DC-CD0F0AE70F5E}">
      <dgm:prSet/>
      <dgm:spPr/>
      <dgm:t>
        <a:bodyPr/>
        <a:lstStyle/>
        <a:p>
          <a:endParaRPr lang="ru-RU"/>
        </a:p>
      </dgm:t>
    </dgm:pt>
    <dgm:pt modelId="{584029AE-20B6-4270-B7FC-B49879F75BB9}" type="sibTrans" cxnId="{5661CEAA-23BE-4256-81DC-CD0F0AE70F5E}">
      <dgm:prSet/>
      <dgm:spPr/>
      <dgm:t>
        <a:bodyPr/>
        <a:lstStyle/>
        <a:p>
          <a:endParaRPr lang="ru-RU"/>
        </a:p>
      </dgm:t>
    </dgm:pt>
    <dgm:pt modelId="{BF9C9F79-4153-4955-847A-7DE053622913}">
      <dgm:prSet phldrT="[Текст]"/>
      <dgm:spPr/>
      <dgm:t>
        <a:bodyPr/>
        <a:lstStyle/>
        <a:p>
          <a:r>
            <a:rPr lang="ru-RU"/>
            <a:t>ІІІ.</a:t>
          </a:r>
        </a:p>
        <a:p>
          <a:r>
            <a:rPr lang="ru-RU"/>
            <a:t>Гіпотеза щодо взаємозв</a:t>
          </a:r>
          <a:r>
            <a:rPr lang="ru-RU">
              <a:latin typeface="Times New Roman"/>
              <a:cs typeface="Times New Roman"/>
            </a:rPr>
            <a:t>’</a:t>
          </a:r>
          <a:r>
            <a:rPr lang="ru-RU"/>
            <a:t>язків між ПБ та складовими ФБД </a:t>
          </a:r>
        </a:p>
      </dgm:t>
    </dgm:pt>
    <dgm:pt modelId="{B4A6E617-D0CF-4135-97C4-4594EF2B7EBB}" type="parTrans" cxnId="{09A205E0-C2E5-4631-9B3A-B6BD80B681FD}">
      <dgm:prSet/>
      <dgm:spPr/>
      <dgm:t>
        <a:bodyPr/>
        <a:lstStyle/>
        <a:p>
          <a:endParaRPr lang="ru-RU"/>
        </a:p>
      </dgm:t>
    </dgm:pt>
    <dgm:pt modelId="{8FBF20D9-54F5-4CA7-A7A8-B7A4B5007493}" type="sibTrans" cxnId="{09A205E0-C2E5-4631-9B3A-B6BD80B681FD}">
      <dgm:prSet/>
      <dgm:spPr/>
      <dgm:t>
        <a:bodyPr/>
        <a:lstStyle/>
        <a:p>
          <a:endParaRPr lang="ru-RU"/>
        </a:p>
      </dgm:t>
    </dgm:pt>
    <dgm:pt modelId="{1C5EE81A-4217-4957-94E5-FA459F67DC48}">
      <dgm:prSet/>
      <dgm:spPr/>
      <dgm:t>
        <a:bodyPr/>
        <a:lstStyle/>
        <a:p>
          <a:r>
            <a:rPr lang="en-US"/>
            <a:t>IV.</a:t>
          </a:r>
        </a:p>
        <a:p>
          <a:r>
            <a:rPr lang="ru-RU"/>
            <a:t>Експертна оцінка порогових значень показників, чутливих до ПБ</a:t>
          </a:r>
        </a:p>
      </dgm:t>
    </dgm:pt>
    <dgm:pt modelId="{E95E432A-9B06-42CD-9BF6-5550684BE8C6}" type="parTrans" cxnId="{49CDB038-AFAA-4E52-969E-E5E1F21665C6}">
      <dgm:prSet/>
      <dgm:spPr/>
      <dgm:t>
        <a:bodyPr/>
        <a:lstStyle/>
        <a:p>
          <a:endParaRPr lang="ru-RU"/>
        </a:p>
      </dgm:t>
    </dgm:pt>
    <dgm:pt modelId="{61CF7B2F-F1A8-42CF-94AB-D613581CAC57}" type="sibTrans" cxnId="{49CDB038-AFAA-4E52-969E-E5E1F21665C6}">
      <dgm:prSet/>
      <dgm:spPr/>
      <dgm:t>
        <a:bodyPr/>
        <a:lstStyle/>
        <a:p>
          <a:endParaRPr lang="ru-RU"/>
        </a:p>
      </dgm:t>
    </dgm:pt>
    <dgm:pt modelId="{35D44FB2-8408-41EC-8F28-75F786BFCE31}">
      <dgm:prSet/>
      <dgm:spPr/>
      <dgm:t>
        <a:bodyPr/>
        <a:lstStyle/>
        <a:p>
          <a:r>
            <a:rPr lang="en-US"/>
            <a:t>V.</a:t>
          </a:r>
        </a:p>
        <a:p>
          <a:r>
            <a:rPr lang="ru-RU"/>
            <a:t> Порівняння фактичних показників ФБД  із граничними</a:t>
          </a:r>
        </a:p>
      </dgm:t>
    </dgm:pt>
    <dgm:pt modelId="{29D7492D-83BA-4963-AD83-7FC144A4895A}" type="parTrans" cxnId="{8766588D-111B-4D80-B6A7-D2E46029CFD0}">
      <dgm:prSet/>
      <dgm:spPr/>
      <dgm:t>
        <a:bodyPr/>
        <a:lstStyle/>
        <a:p>
          <a:endParaRPr lang="ru-RU"/>
        </a:p>
      </dgm:t>
    </dgm:pt>
    <dgm:pt modelId="{3B9FB0AB-4604-4258-9E00-A4F0756C65BD}" type="sibTrans" cxnId="{8766588D-111B-4D80-B6A7-D2E46029CFD0}">
      <dgm:prSet/>
      <dgm:spPr/>
      <dgm:t>
        <a:bodyPr/>
        <a:lstStyle/>
        <a:p>
          <a:endParaRPr lang="ru-RU"/>
        </a:p>
      </dgm:t>
    </dgm:pt>
    <dgm:pt modelId="{CFEEB743-0CC0-4FAB-8F63-DAB4EFA04E49}">
      <dgm:prSet/>
      <dgm:spPr/>
      <dgm:t>
        <a:bodyPr/>
        <a:lstStyle/>
        <a:p>
          <a:r>
            <a:rPr lang="en-US"/>
            <a:t>VI.</a:t>
          </a:r>
        </a:p>
        <a:p>
          <a:r>
            <a:rPr lang="ru-RU"/>
            <a:t>Формулювання висновків щодо стану  ФБД за обраними показниками</a:t>
          </a:r>
        </a:p>
      </dgm:t>
    </dgm:pt>
    <dgm:pt modelId="{FA8942AA-E410-4150-8755-BE2FE77F6089}" type="parTrans" cxnId="{E8DEE8E1-5DF7-4316-B9C3-3E6B97B44BB9}">
      <dgm:prSet/>
      <dgm:spPr/>
      <dgm:t>
        <a:bodyPr/>
        <a:lstStyle/>
        <a:p>
          <a:endParaRPr lang="ru-RU"/>
        </a:p>
      </dgm:t>
    </dgm:pt>
    <dgm:pt modelId="{00451180-1F73-4C11-8F19-B6616DD57D8E}" type="sibTrans" cxnId="{E8DEE8E1-5DF7-4316-B9C3-3E6B97B44BB9}">
      <dgm:prSet/>
      <dgm:spPr/>
      <dgm:t>
        <a:bodyPr/>
        <a:lstStyle/>
        <a:p>
          <a:endParaRPr lang="ru-RU"/>
        </a:p>
      </dgm:t>
    </dgm:pt>
    <dgm:pt modelId="{FF0D9ABE-8E26-4486-AF3D-3771385C7DDF}">
      <dgm:prSet phldrT="[Текст]"/>
      <dgm:spPr/>
      <dgm:t>
        <a:bodyPr/>
        <a:lstStyle/>
        <a:p>
          <a:r>
            <a:rPr lang="ru-RU"/>
            <a:t>ІІІ. Структурний аналіз ФБД</a:t>
          </a:r>
        </a:p>
      </dgm:t>
    </dgm:pt>
    <dgm:pt modelId="{A3A7C158-A0AE-46BE-AC61-FA96397CAD24}" type="parTrans" cxnId="{8C0A6C18-80B0-47A6-9CE6-3152B02C6428}">
      <dgm:prSet/>
      <dgm:spPr/>
      <dgm:t>
        <a:bodyPr/>
        <a:lstStyle/>
        <a:p>
          <a:endParaRPr lang="uk-UA"/>
        </a:p>
      </dgm:t>
    </dgm:pt>
    <dgm:pt modelId="{90CFAF5C-47D4-45EA-A870-70CFCCA6B694}" type="sibTrans" cxnId="{8C0A6C18-80B0-47A6-9CE6-3152B02C6428}">
      <dgm:prSet/>
      <dgm:spPr/>
      <dgm:t>
        <a:bodyPr/>
        <a:lstStyle/>
        <a:p>
          <a:endParaRPr lang="uk-UA"/>
        </a:p>
      </dgm:t>
    </dgm:pt>
    <dgm:pt modelId="{6F22CF14-471D-4DE0-9562-5B89184D0E21}" type="pres">
      <dgm:prSet presAssocID="{554E7FBF-C4AC-4D59-972F-F159C2A4B4F5}" presName="composite" presStyleCnt="0">
        <dgm:presLayoutVars>
          <dgm:chMax val="1"/>
          <dgm:dir/>
          <dgm:resizeHandles val="exact"/>
        </dgm:presLayoutVars>
      </dgm:prSet>
      <dgm:spPr/>
      <dgm:t>
        <a:bodyPr/>
        <a:lstStyle/>
        <a:p>
          <a:endParaRPr lang="ru-RU"/>
        </a:p>
      </dgm:t>
    </dgm:pt>
    <dgm:pt modelId="{E25984DB-0E34-450B-88E8-B3ACCBBB5099}" type="pres">
      <dgm:prSet presAssocID="{CC3AD301-A8F3-4C2A-B99B-65CF3D82EFA5}" presName="roof" presStyleLbl="dkBgShp" presStyleIdx="0" presStyleCnt="2" custScaleY="42857" custLinFactNeighborX="-2908" custLinFactNeighborY="-1166"/>
      <dgm:spPr/>
      <dgm:t>
        <a:bodyPr/>
        <a:lstStyle/>
        <a:p>
          <a:endParaRPr lang="ru-RU"/>
        </a:p>
      </dgm:t>
    </dgm:pt>
    <dgm:pt modelId="{2F1EF77F-902F-4574-AB8E-1B52CA2D12E1}" type="pres">
      <dgm:prSet presAssocID="{CC3AD301-A8F3-4C2A-B99B-65CF3D82EFA5}" presName="pillars" presStyleCnt="0"/>
      <dgm:spPr/>
    </dgm:pt>
    <dgm:pt modelId="{8DA54D10-6535-4800-AEBF-1B1712B553C0}" type="pres">
      <dgm:prSet presAssocID="{CC3AD301-A8F3-4C2A-B99B-65CF3D82EFA5}" presName="pillar1" presStyleLbl="node1" presStyleIdx="0" presStyleCnt="7">
        <dgm:presLayoutVars>
          <dgm:bulletEnabled val="1"/>
        </dgm:presLayoutVars>
      </dgm:prSet>
      <dgm:spPr/>
      <dgm:t>
        <a:bodyPr/>
        <a:lstStyle/>
        <a:p>
          <a:endParaRPr lang="ru-RU"/>
        </a:p>
      </dgm:t>
    </dgm:pt>
    <dgm:pt modelId="{B9E92206-9FE2-40F6-B380-062C163F1C40}" type="pres">
      <dgm:prSet presAssocID="{32D1FD14-7682-4335-BFC7-E47729BA818B}" presName="pillarX" presStyleLbl="node1" presStyleIdx="1" presStyleCnt="7">
        <dgm:presLayoutVars>
          <dgm:bulletEnabled val="1"/>
        </dgm:presLayoutVars>
      </dgm:prSet>
      <dgm:spPr/>
      <dgm:t>
        <a:bodyPr/>
        <a:lstStyle/>
        <a:p>
          <a:endParaRPr lang="ru-RU"/>
        </a:p>
      </dgm:t>
    </dgm:pt>
    <dgm:pt modelId="{EF2EC6C9-E8A7-4376-B4FE-52014ECBB929}" type="pres">
      <dgm:prSet presAssocID="{FF0D9ABE-8E26-4486-AF3D-3771385C7DDF}" presName="pillarX" presStyleLbl="node1" presStyleIdx="2" presStyleCnt="7">
        <dgm:presLayoutVars>
          <dgm:bulletEnabled val="1"/>
        </dgm:presLayoutVars>
      </dgm:prSet>
      <dgm:spPr/>
      <dgm:t>
        <a:bodyPr/>
        <a:lstStyle/>
        <a:p>
          <a:endParaRPr lang="uk-UA"/>
        </a:p>
      </dgm:t>
    </dgm:pt>
    <dgm:pt modelId="{99CC4841-03FF-4767-A885-8FCBEDAEB19A}" type="pres">
      <dgm:prSet presAssocID="{BF9C9F79-4153-4955-847A-7DE053622913}" presName="pillarX" presStyleLbl="node1" presStyleIdx="3" presStyleCnt="7">
        <dgm:presLayoutVars>
          <dgm:bulletEnabled val="1"/>
        </dgm:presLayoutVars>
      </dgm:prSet>
      <dgm:spPr/>
      <dgm:t>
        <a:bodyPr/>
        <a:lstStyle/>
        <a:p>
          <a:endParaRPr lang="ru-RU"/>
        </a:p>
      </dgm:t>
    </dgm:pt>
    <dgm:pt modelId="{3336997D-A7CD-40B4-9E4D-C3A3C1C28107}" type="pres">
      <dgm:prSet presAssocID="{1C5EE81A-4217-4957-94E5-FA459F67DC48}" presName="pillarX" presStyleLbl="node1" presStyleIdx="4" presStyleCnt="7">
        <dgm:presLayoutVars>
          <dgm:bulletEnabled val="1"/>
        </dgm:presLayoutVars>
      </dgm:prSet>
      <dgm:spPr/>
      <dgm:t>
        <a:bodyPr/>
        <a:lstStyle/>
        <a:p>
          <a:endParaRPr lang="ru-RU"/>
        </a:p>
      </dgm:t>
    </dgm:pt>
    <dgm:pt modelId="{D755D010-03E4-4AA3-BD54-082F259BAE5F}" type="pres">
      <dgm:prSet presAssocID="{35D44FB2-8408-41EC-8F28-75F786BFCE31}" presName="pillarX" presStyleLbl="node1" presStyleIdx="5" presStyleCnt="7">
        <dgm:presLayoutVars>
          <dgm:bulletEnabled val="1"/>
        </dgm:presLayoutVars>
      </dgm:prSet>
      <dgm:spPr/>
      <dgm:t>
        <a:bodyPr/>
        <a:lstStyle/>
        <a:p>
          <a:endParaRPr lang="ru-RU"/>
        </a:p>
      </dgm:t>
    </dgm:pt>
    <dgm:pt modelId="{0FCD2BBF-B499-458F-B8DF-52DF0B4F572D}" type="pres">
      <dgm:prSet presAssocID="{CFEEB743-0CC0-4FAB-8F63-DAB4EFA04E49}" presName="pillarX" presStyleLbl="node1" presStyleIdx="6" presStyleCnt="7">
        <dgm:presLayoutVars>
          <dgm:bulletEnabled val="1"/>
        </dgm:presLayoutVars>
      </dgm:prSet>
      <dgm:spPr/>
      <dgm:t>
        <a:bodyPr/>
        <a:lstStyle/>
        <a:p>
          <a:endParaRPr lang="ru-RU"/>
        </a:p>
      </dgm:t>
    </dgm:pt>
    <dgm:pt modelId="{26F60107-FCB2-4F16-B4E9-326A1DD3C991}" type="pres">
      <dgm:prSet presAssocID="{CC3AD301-A8F3-4C2A-B99B-65CF3D82EFA5}" presName="base" presStyleLbl="dkBgShp" presStyleIdx="1" presStyleCnt="2"/>
      <dgm:spPr/>
    </dgm:pt>
  </dgm:ptLst>
  <dgm:cxnLst>
    <dgm:cxn modelId="{8766588D-111B-4D80-B6A7-D2E46029CFD0}" srcId="{CC3AD301-A8F3-4C2A-B99B-65CF3D82EFA5}" destId="{35D44FB2-8408-41EC-8F28-75F786BFCE31}" srcOrd="5" destOrd="0" parTransId="{29D7492D-83BA-4963-AD83-7FC144A4895A}" sibTransId="{3B9FB0AB-4604-4258-9E00-A4F0756C65BD}"/>
    <dgm:cxn modelId="{B1EB01EB-F934-4FE2-A544-41950F33D40E}" type="presOf" srcId="{CFEEB743-0CC0-4FAB-8F63-DAB4EFA04E49}" destId="{0FCD2BBF-B499-458F-B8DF-52DF0B4F572D}" srcOrd="0" destOrd="0" presId="urn:microsoft.com/office/officeart/2005/8/layout/hList3"/>
    <dgm:cxn modelId="{5661CEAA-23BE-4256-81DC-CD0F0AE70F5E}" srcId="{CC3AD301-A8F3-4C2A-B99B-65CF3D82EFA5}" destId="{32D1FD14-7682-4335-BFC7-E47729BA818B}" srcOrd="1" destOrd="0" parTransId="{A0E0F349-7394-4428-A259-FEC9AA1394B7}" sibTransId="{584029AE-20B6-4270-B7FC-B49879F75BB9}"/>
    <dgm:cxn modelId="{EAB8F9CF-7929-471A-B91E-95BC31965662}" type="presOf" srcId="{32D1FD14-7682-4335-BFC7-E47729BA818B}" destId="{B9E92206-9FE2-40F6-B380-062C163F1C40}" srcOrd="0" destOrd="0" presId="urn:microsoft.com/office/officeart/2005/8/layout/hList3"/>
    <dgm:cxn modelId="{E8DEE8E1-5DF7-4316-B9C3-3E6B97B44BB9}" srcId="{CC3AD301-A8F3-4C2A-B99B-65CF3D82EFA5}" destId="{CFEEB743-0CC0-4FAB-8F63-DAB4EFA04E49}" srcOrd="6" destOrd="0" parTransId="{FA8942AA-E410-4150-8755-BE2FE77F6089}" sibTransId="{00451180-1F73-4C11-8F19-B6616DD57D8E}"/>
    <dgm:cxn modelId="{49CDB038-AFAA-4E52-969E-E5E1F21665C6}" srcId="{CC3AD301-A8F3-4C2A-B99B-65CF3D82EFA5}" destId="{1C5EE81A-4217-4957-94E5-FA459F67DC48}" srcOrd="4" destOrd="0" parTransId="{E95E432A-9B06-42CD-9BF6-5550684BE8C6}" sibTransId="{61CF7B2F-F1A8-42CF-94AB-D613581CAC57}"/>
    <dgm:cxn modelId="{09A205E0-C2E5-4631-9B3A-B6BD80B681FD}" srcId="{CC3AD301-A8F3-4C2A-B99B-65CF3D82EFA5}" destId="{BF9C9F79-4153-4955-847A-7DE053622913}" srcOrd="3" destOrd="0" parTransId="{B4A6E617-D0CF-4135-97C4-4594EF2B7EBB}" sibTransId="{8FBF20D9-54F5-4CA7-A7A8-B7A4B5007493}"/>
    <dgm:cxn modelId="{8C0A6C18-80B0-47A6-9CE6-3152B02C6428}" srcId="{CC3AD301-A8F3-4C2A-B99B-65CF3D82EFA5}" destId="{FF0D9ABE-8E26-4486-AF3D-3771385C7DDF}" srcOrd="2" destOrd="0" parTransId="{A3A7C158-A0AE-46BE-AC61-FA96397CAD24}" sibTransId="{90CFAF5C-47D4-45EA-A870-70CFCCA6B694}"/>
    <dgm:cxn modelId="{9BE03A4B-ED24-40A5-90F5-D531081FDF48}" type="presOf" srcId="{D18E672C-CEB8-4DCF-A3BB-050AA4A23B47}" destId="{8DA54D10-6535-4800-AEBF-1B1712B553C0}" srcOrd="0" destOrd="0" presId="urn:microsoft.com/office/officeart/2005/8/layout/hList3"/>
    <dgm:cxn modelId="{8DFD05A8-B738-4D26-B50C-D77787FD4170}" type="presOf" srcId="{BF9C9F79-4153-4955-847A-7DE053622913}" destId="{99CC4841-03FF-4767-A885-8FCBEDAEB19A}" srcOrd="0" destOrd="0" presId="urn:microsoft.com/office/officeart/2005/8/layout/hList3"/>
    <dgm:cxn modelId="{BFBE77D9-3C30-480B-AD4F-0757D4413D6C}" type="presOf" srcId="{CC3AD301-A8F3-4C2A-B99B-65CF3D82EFA5}" destId="{E25984DB-0E34-450B-88E8-B3ACCBBB5099}" srcOrd="0" destOrd="0" presId="urn:microsoft.com/office/officeart/2005/8/layout/hList3"/>
    <dgm:cxn modelId="{0A7BCFE0-0692-4072-B2B8-29B8BBA2A36B}" type="presOf" srcId="{FF0D9ABE-8E26-4486-AF3D-3771385C7DDF}" destId="{EF2EC6C9-E8A7-4376-B4FE-52014ECBB929}" srcOrd="0" destOrd="0" presId="urn:microsoft.com/office/officeart/2005/8/layout/hList3"/>
    <dgm:cxn modelId="{C926D47C-2C2F-45CA-BAAF-DCA582F323C8}" srcId="{554E7FBF-C4AC-4D59-972F-F159C2A4B4F5}" destId="{CC3AD301-A8F3-4C2A-B99B-65CF3D82EFA5}" srcOrd="0" destOrd="0" parTransId="{EEE685EA-2474-47F7-ADF9-945B8679C97B}" sibTransId="{157FAB3E-5A1D-458A-919F-A6EB7CBF6FAE}"/>
    <dgm:cxn modelId="{705B47F2-6787-4530-83E1-304E3C807468}" type="presOf" srcId="{554E7FBF-C4AC-4D59-972F-F159C2A4B4F5}" destId="{6F22CF14-471D-4DE0-9562-5B89184D0E21}" srcOrd="0" destOrd="0" presId="urn:microsoft.com/office/officeart/2005/8/layout/hList3"/>
    <dgm:cxn modelId="{6169C408-3222-4CA1-9A6F-F8565BCCC7FA}" type="presOf" srcId="{35D44FB2-8408-41EC-8F28-75F786BFCE31}" destId="{D755D010-03E4-4AA3-BD54-082F259BAE5F}" srcOrd="0" destOrd="0" presId="urn:microsoft.com/office/officeart/2005/8/layout/hList3"/>
    <dgm:cxn modelId="{982C7FC9-3B57-49BA-9CE9-A8BF652E9C08}" srcId="{CC3AD301-A8F3-4C2A-B99B-65CF3D82EFA5}" destId="{D18E672C-CEB8-4DCF-A3BB-050AA4A23B47}" srcOrd="0" destOrd="0" parTransId="{1F46468E-D340-4FF2-8AC9-F61D602D8691}" sibTransId="{006D9904-74FA-486D-9B1D-4B8ADDB35104}"/>
    <dgm:cxn modelId="{61651472-FA95-4A5A-9C27-D3E11321428F}" type="presOf" srcId="{1C5EE81A-4217-4957-94E5-FA459F67DC48}" destId="{3336997D-A7CD-40B4-9E4D-C3A3C1C28107}" srcOrd="0" destOrd="0" presId="urn:microsoft.com/office/officeart/2005/8/layout/hList3"/>
    <dgm:cxn modelId="{51C89A7A-B93D-45E0-B2CD-0A064DAB8DB7}" type="presParOf" srcId="{6F22CF14-471D-4DE0-9562-5B89184D0E21}" destId="{E25984DB-0E34-450B-88E8-B3ACCBBB5099}" srcOrd="0" destOrd="0" presId="urn:microsoft.com/office/officeart/2005/8/layout/hList3"/>
    <dgm:cxn modelId="{23D2B91D-DD71-4EB9-A953-A1B91091312D}" type="presParOf" srcId="{6F22CF14-471D-4DE0-9562-5B89184D0E21}" destId="{2F1EF77F-902F-4574-AB8E-1B52CA2D12E1}" srcOrd="1" destOrd="0" presId="urn:microsoft.com/office/officeart/2005/8/layout/hList3"/>
    <dgm:cxn modelId="{2BA111FE-066C-49B0-B47A-5EC9C24186F8}" type="presParOf" srcId="{2F1EF77F-902F-4574-AB8E-1B52CA2D12E1}" destId="{8DA54D10-6535-4800-AEBF-1B1712B553C0}" srcOrd="0" destOrd="0" presId="urn:microsoft.com/office/officeart/2005/8/layout/hList3"/>
    <dgm:cxn modelId="{448099D1-5B7E-4DEA-9BA6-6CC5C4321E06}" type="presParOf" srcId="{2F1EF77F-902F-4574-AB8E-1B52CA2D12E1}" destId="{B9E92206-9FE2-40F6-B380-062C163F1C40}" srcOrd="1" destOrd="0" presId="urn:microsoft.com/office/officeart/2005/8/layout/hList3"/>
    <dgm:cxn modelId="{68E1927F-087D-4076-BE2D-D7821CF9CCCC}" type="presParOf" srcId="{2F1EF77F-902F-4574-AB8E-1B52CA2D12E1}" destId="{EF2EC6C9-E8A7-4376-B4FE-52014ECBB929}" srcOrd="2" destOrd="0" presId="urn:microsoft.com/office/officeart/2005/8/layout/hList3"/>
    <dgm:cxn modelId="{8FDF5FC2-7C30-4EED-8A05-028FC3C1B097}" type="presParOf" srcId="{2F1EF77F-902F-4574-AB8E-1B52CA2D12E1}" destId="{99CC4841-03FF-4767-A885-8FCBEDAEB19A}" srcOrd="3" destOrd="0" presId="urn:microsoft.com/office/officeart/2005/8/layout/hList3"/>
    <dgm:cxn modelId="{BCB3463E-2F3D-4AAD-A76A-06466FABB33E}" type="presParOf" srcId="{2F1EF77F-902F-4574-AB8E-1B52CA2D12E1}" destId="{3336997D-A7CD-40B4-9E4D-C3A3C1C28107}" srcOrd="4" destOrd="0" presId="urn:microsoft.com/office/officeart/2005/8/layout/hList3"/>
    <dgm:cxn modelId="{3AB00E0F-44A9-4724-9FD0-378658CA59D4}" type="presParOf" srcId="{2F1EF77F-902F-4574-AB8E-1B52CA2D12E1}" destId="{D755D010-03E4-4AA3-BD54-082F259BAE5F}" srcOrd="5" destOrd="0" presId="urn:microsoft.com/office/officeart/2005/8/layout/hList3"/>
    <dgm:cxn modelId="{8A98F592-1A91-4117-B8C1-44DD95A5B257}" type="presParOf" srcId="{2F1EF77F-902F-4574-AB8E-1B52CA2D12E1}" destId="{0FCD2BBF-B499-458F-B8DF-52DF0B4F572D}" srcOrd="6" destOrd="0" presId="urn:microsoft.com/office/officeart/2005/8/layout/hList3"/>
    <dgm:cxn modelId="{4B5F7163-71B9-48A0-A8A2-B2B9F1233877}" type="presParOf" srcId="{6F22CF14-471D-4DE0-9562-5B89184D0E21}" destId="{26F60107-FCB2-4F16-B4E9-326A1DD3C991}" srcOrd="2" destOrd="0" presId="urn:microsoft.com/office/officeart/2005/8/layout/hList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4E7FBF-C4AC-4D59-972F-F159C2A4B4F5}"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CC3AD301-A8F3-4C2A-B99B-65CF3D82EFA5}">
      <dgm:prSet phldrT="[Текст]" custT="1"/>
      <dgm:spPr/>
      <dgm:t>
        <a:bodyPr/>
        <a:lstStyle/>
        <a:p>
          <a:pPr algn="ctr"/>
          <a:r>
            <a:rPr lang="ru-RU" sz="1100">
              <a:solidFill>
                <a:sysClr val="windowText" lastClr="000000"/>
              </a:solidFill>
            </a:rPr>
            <a:t> Моделювання впливу ПБ на ФБД </a:t>
          </a:r>
        </a:p>
      </dgm:t>
    </dgm:pt>
    <dgm:pt modelId="{EEE685EA-2474-47F7-ADF9-945B8679C97B}" type="parTrans" cxnId="{C926D47C-2C2F-45CA-BAAF-DCA582F323C8}">
      <dgm:prSet/>
      <dgm:spPr/>
      <dgm:t>
        <a:bodyPr/>
        <a:lstStyle/>
        <a:p>
          <a:endParaRPr lang="ru-RU"/>
        </a:p>
      </dgm:t>
    </dgm:pt>
    <dgm:pt modelId="{157FAB3E-5A1D-458A-919F-A6EB7CBF6FAE}" type="sibTrans" cxnId="{C926D47C-2C2F-45CA-BAAF-DCA582F323C8}">
      <dgm:prSet/>
      <dgm:spPr/>
      <dgm:t>
        <a:bodyPr/>
        <a:lstStyle/>
        <a:p>
          <a:endParaRPr lang="ru-RU"/>
        </a:p>
      </dgm:t>
    </dgm:pt>
    <dgm:pt modelId="{D18E672C-CEB8-4DCF-A3BB-050AA4A23B47}">
      <dgm:prSet phldrT="[Текст]"/>
      <dgm:spPr/>
      <dgm:t>
        <a:bodyPr/>
        <a:lstStyle/>
        <a:p>
          <a:r>
            <a:rPr lang="ru-RU"/>
            <a:t>І.</a:t>
          </a:r>
        </a:p>
        <a:p>
          <a:r>
            <a:rPr lang="ru-RU"/>
            <a:t>Формування масиву вихідних даних</a:t>
          </a:r>
        </a:p>
      </dgm:t>
    </dgm:pt>
    <dgm:pt modelId="{1F46468E-D340-4FF2-8AC9-F61D602D8691}" type="parTrans" cxnId="{982C7FC9-3B57-49BA-9CE9-A8BF652E9C08}">
      <dgm:prSet/>
      <dgm:spPr/>
      <dgm:t>
        <a:bodyPr/>
        <a:lstStyle/>
        <a:p>
          <a:endParaRPr lang="ru-RU"/>
        </a:p>
      </dgm:t>
    </dgm:pt>
    <dgm:pt modelId="{006D9904-74FA-486D-9B1D-4B8ADDB35104}" type="sibTrans" cxnId="{982C7FC9-3B57-49BA-9CE9-A8BF652E9C08}">
      <dgm:prSet/>
      <dgm:spPr/>
      <dgm:t>
        <a:bodyPr/>
        <a:lstStyle/>
        <a:p>
          <a:endParaRPr lang="ru-RU"/>
        </a:p>
      </dgm:t>
    </dgm:pt>
    <dgm:pt modelId="{32D1FD14-7682-4335-BFC7-E47729BA818B}">
      <dgm:prSet phldrT="[Текст]"/>
      <dgm:spPr/>
      <dgm:t>
        <a:bodyPr/>
        <a:lstStyle/>
        <a:p>
          <a:r>
            <a:rPr lang="ru-RU"/>
            <a:t>ІІ.</a:t>
          </a:r>
        </a:p>
        <a:p>
          <a:r>
            <a:rPr lang="ru-RU"/>
            <a:t>Побудова логічного ланцюга із факторних та результативних показників </a:t>
          </a:r>
        </a:p>
      </dgm:t>
    </dgm:pt>
    <dgm:pt modelId="{A0E0F349-7394-4428-A259-FEC9AA1394B7}" type="parTrans" cxnId="{5661CEAA-23BE-4256-81DC-CD0F0AE70F5E}">
      <dgm:prSet/>
      <dgm:spPr/>
      <dgm:t>
        <a:bodyPr/>
        <a:lstStyle/>
        <a:p>
          <a:endParaRPr lang="ru-RU"/>
        </a:p>
      </dgm:t>
    </dgm:pt>
    <dgm:pt modelId="{584029AE-20B6-4270-B7FC-B49879F75BB9}" type="sibTrans" cxnId="{5661CEAA-23BE-4256-81DC-CD0F0AE70F5E}">
      <dgm:prSet/>
      <dgm:spPr/>
      <dgm:t>
        <a:bodyPr/>
        <a:lstStyle/>
        <a:p>
          <a:endParaRPr lang="ru-RU"/>
        </a:p>
      </dgm:t>
    </dgm:pt>
    <dgm:pt modelId="{BF9C9F79-4153-4955-847A-7DE053622913}">
      <dgm:prSet phldrT="[Текст]"/>
      <dgm:spPr/>
      <dgm:t>
        <a:bodyPr/>
        <a:lstStyle/>
        <a:p>
          <a:r>
            <a:rPr lang="ru-RU"/>
            <a:t>ІІІ.</a:t>
          </a:r>
        </a:p>
        <a:p>
          <a:r>
            <a:rPr lang="ru-RU"/>
            <a:t>Обробка результатів ШНМ з РБФ</a:t>
          </a:r>
        </a:p>
      </dgm:t>
    </dgm:pt>
    <dgm:pt modelId="{B4A6E617-D0CF-4135-97C4-4594EF2B7EBB}" type="parTrans" cxnId="{09A205E0-C2E5-4631-9B3A-B6BD80B681FD}">
      <dgm:prSet/>
      <dgm:spPr/>
      <dgm:t>
        <a:bodyPr/>
        <a:lstStyle/>
        <a:p>
          <a:endParaRPr lang="ru-RU"/>
        </a:p>
      </dgm:t>
    </dgm:pt>
    <dgm:pt modelId="{8FBF20D9-54F5-4CA7-A7A8-B7A4B5007493}" type="sibTrans" cxnId="{09A205E0-C2E5-4631-9B3A-B6BD80B681FD}">
      <dgm:prSet/>
      <dgm:spPr/>
      <dgm:t>
        <a:bodyPr/>
        <a:lstStyle/>
        <a:p>
          <a:endParaRPr lang="ru-RU"/>
        </a:p>
      </dgm:t>
    </dgm:pt>
    <dgm:pt modelId="{1C5EE81A-4217-4957-94E5-FA459F67DC48}">
      <dgm:prSet/>
      <dgm:spPr/>
      <dgm:t>
        <a:bodyPr/>
        <a:lstStyle/>
        <a:p>
          <a:r>
            <a:rPr lang="en-US"/>
            <a:t>IV.</a:t>
          </a:r>
        </a:p>
        <a:p>
          <a:r>
            <a:rPr lang="ru-RU"/>
            <a:t>Формулювання висновків щодо залежності окремих індикаторів ФБД від ПБ</a:t>
          </a:r>
        </a:p>
      </dgm:t>
    </dgm:pt>
    <dgm:pt modelId="{E95E432A-9B06-42CD-9BF6-5550684BE8C6}" type="parTrans" cxnId="{49CDB038-AFAA-4E52-969E-E5E1F21665C6}">
      <dgm:prSet/>
      <dgm:spPr/>
      <dgm:t>
        <a:bodyPr/>
        <a:lstStyle/>
        <a:p>
          <a:endParaRPr lang="ru-RU"/>
        </a:p>
      </dgm:t>
    </dgm:pt>
    <dgm:pt modelId="{61CF7B2F-F1A8-42CF-94AB-D613581CAC57}" type="sibTrans" cxnId="{49CDB038-AFAA-4E52-969E-E5E1F21665C6}">
      <dgm:prSet/>
      <dgm:spPr/>
      <dgm:t>
        <a:bodyPr/>
        <a:lstStyle/>
        <a:p>
          <a:endParaRPr lang="ru-RU"/>
        </a:p>
      </dgm:t>
    </dgm:pt>
    <dgm:pt modelId="{35D44FB2-8408-41EC-8F28-75F786BFCE31}">
      <dgm:prSet/>
      <dgm:spPr/>
      <dgm:t>
        <a:bodyPr/>
        <a:lstStyle/>
        <a:p>
          <a:r>
            <a:rPr lang="en-US"/>
            <a:t>V.</a:t>
          </a:r>
        </a:p>
        <a:p>
          <a:r>
            <a:rPr lang="ru-RU"/>
            <a:t>Економічна інтерпретація результатів</a:t>
          </a:r>
        </a:p>
      </dgm:t>
    </dgm:pt>
    <dgm:pt modelId="{29D7492D-83BA-4963-AD83-7FC144A4895A}" type="parTrans" cxnId="{8766588D-111B-4D80-B6A7-D2E46029CFD0}">
      <dgm:prSet/>
      <dgm:spPr/>
      <dgm:t>
        <a:bodyPr/>
        <a:lstStyle/>
        <a:p>
          <a:endParaRPr lang="ru-RU"/>
        </a:p>
      </dgm:t>
    </dgm:pt>
    <dgm:pt modelId="{3B9FB0AB-4604-4258-9E00-A4F0756C65BD}" type="sibTrans" cxnId="{8766588D-111B-4D80-B6A7-D2E46029CFD0}">
      <dgm:prSet/>
      <dgm:spPr/>
      <dgm:t>
        <a:bodyPr/>
        <a:lstStyle/>
        <a:p>
          <a:endParaRPr lang="ru-RU"/>
        </a:p>
      </dgm:t>
    </dgm:pt>
    <dgm:pt modelId="{FF0D9ABE-8E26-4486-AF3D-3771385C7DDF}">
      <dgm:prSet phldrT="[Текст]"/>
      <dgm:spPr/>
      <dgm:t>
        <a:bodyPr/>
        <a:lstStyle/>
        <a:p>
          <a:r>
            <a:rPr lang="ru-RU"/>
            <a:t>ІІІ. Використання  ШНМ з РБФ </a:t>
          </a:r>
        </a:p>
      </dgm:t>
    </dgm:pt>
    <dgm:pt modelId="{A3A7C158-A0AE-46BE-AC61-FA96397CAD24}" type="parTrans" cxnId="{8C0A6C18-80B0-47A6-9CE6-3152B02C6428}">
      <dgm:prSet/>
      <dgm:spPr/>
      <dgm:t>
        <a:bodyPr/>
        <a:lstStyle/>
        <a:p>
          <a:endParaRPr lang="uk-UA"/>
        </a:p>
      </dgm:t>
    </dgm:pt>
    <dgm:pt modelId="{90CFAF5C-47D4-45EA-A870-70CFCCA6B694}" type="sibTrans" cxnId="{8C0A6C18-80B0-47A6-9CE6-3152B02C6428}">
      <dgm:prSet/>
      <dgm:spPr/>
      <dgm:t>
        <a:bodyPr/>
        <a:lstStyle/>
        <a:p>
          <a:endParaRPr lang="uk-UA"/>
        </a:p>
      </dgm:t>
    </dgm:pt>
    <dgm:pt modelId="{6F22CF14-471D-4DE0-9562-5B89184D0E21}" type="pres">
      <dgm:prSet presAssocID="{554E7FBF-C4AC-4D59-972F-F159C2A4B4F5}" presName="composite" presStyleCnt="0">
        <dgm:presLayoutVars>
          <dgm:chMax val="1"/>
          <dgm:dir/>
          <dgm:resizeHandles val="exact"/>
        </dgm:presLayoutVars>
      </dgm:prSet>
      <dgm:spPr/>
      <dgm:t>
        <a:bodyPr/>
        <a:lstStyle/>
        <a:p>
          <a:endParaRPr lang="ru-RU"/>
        </a:p>
      </dgm:t>
    </dgm:pt>
    <dgm:pt modelId="{E25984DB-0E34-450B-88E8-B3ACCBBB5099}" type="pres">
      <dgm:prSet presAssocID="{CC3AD301-A8F3-4C2A-B99B-65CF3D82EFA5}" presName="roof" presStyleLbl="dkBgShp" presStyleIdx="0" presStyleCnt="2" custScaleY="42857" custLinFactNeighborY="-28427"/>
      <dgm:spPr/>
      <dgm:t>
        <a:bodyPr/>
        <a:lstStyle/>
        <a:p>
          <a:endParaRPr lang="ru-RU"/>
        </a:p>
      </dgm:t>
    </dgm:pt>
    <dgm:pt modelId="{2F1EF77F-902F-4574-AB8E-1B52CA2D12E1}" type="pres">
      <dgm:prSet presAssocID="{CC3AD301-A8F3-4C2A-B99B-65CF3D82EFA5}" presName="pillars" presStyleCnt="0"/>
      <dgm:spPr/>
    </dgm:pt>
    <dgm:pt modelId="{8DA54D10-6535-4800-AEBF-1B1712B553C0}" type="pres">
      <dgm:prSet presAssocID="{CC3AD301-A8F3-4C2A-B99B-65CF3D82EFA5}" presName="pillar1" presStyleLbl="node1" presStyleIdx="0" presStyleCnt="6">
        <dgm:presLayoutVars>
          <dgm:bulletEnabled val="1"/>
        </dgm:presLayoutVars>
      </dgm:prSet>
      <dgm:spPr/>
      <dgm:t>
        <a:bodyPr/>
        <a:lstStyle/>
        <a:p>
          <a:endParaRPr lang="ru-RU"/>
        </a:p>
      </dgm:t>
    </dgm:pt>
    <dgm:pt modelId="{B9E92206-9FE2-40F6-B380-062C163F1C40}" type="pres">
      <dgm:prSet presAssocID="{32D1FD14-7682-4335-BFC7-E47729BA818B}" presName="pillarX" presStyleLbl="node1" presStyleIdx="1" presStyleCnt="6">
        <dgm:presLayoutVars>
          <dgm:bulletEnabled val="1"/>
        </dgm:presLayoutVars>
      </dgm:prSet>
      <dgm:spPr/>
      <dgm:t>
        <a:bodyPr/>
        <a:lstStyle/>
        <a:p>
          <a:endParaRPr lang="ru-RU"/>
        </a:p>
      </dgm:t>
    </dgm:pt>
    <dgm:pt modelId="{EF2EC6C9-E8A7-4376-B4FE-52014ECBB929}" type="pres">
      <dgm:prSet presAssocID="{FF0D9ABE-8E26-4486-AF3D-3771385C7DDF}" presName="pillarX" presStyleLbl="node1" presStyleIdx="2" presStyleCnt="6" custScaleX="111705" custLinFactNeighborX="3528">
        <dgm:presLayoutVars>
          <dgm:bulletEnabled val="1"/>
        </dgm:presLayoutVars>
      </dgm:prSet>
      <dgm:spPr/>
      <dgm:t>
        <a:bodyPr/>
        <a:lstStyle/>
        <a:p>
          <a:endParaRPr lang="uk-UA"/>
        </a:p>
      </dgm:t>
    </dgm:pt>
    <dgm:pt modelId="{99CC4841-03FF-4767-A885-8FCBEDAEB19A}" type="pres">
      <dgm:prSet presAssocID="{BF9C9F79-4153-4955-847A-7DE053622913}" presName="pillarX" presStyleLbl="node1" presStyleIdx="3" presStyleCnt="6">
        <dgm:presLayoutVars>
          <dgm:bulletEnabled val="1"/>
        </dgm:presLayoutVars>
      </dgm:prSet>
      <dgm:spPr/>
      <dgm:t>
        <a:bodyPr/>
        <a:lstStyle/>
        <a:p>
          <a:endParaRPr lang="ru-RU"/>
        </a:p>
      </dgm:t>
    </dgm:pt>
    <dgm:pt modelId="{3336997D-A7CD-40B4-9E4D-C3A3C1C28107}" type="pres">
      <dgm:prSet presAssocID="{1C5EE81A-4217-4957-94E5-FA459F67DC48}" presName="pillarX" presStyleLbl="node1" presStyleIdx="4" presStyleCnt="6">
        <dgm:presLayoutVars>
          <dgm:bulletEnabled val="1"/>
        </dgm:presLayoutVars>
      </dgm:prSet>
      <dgm:spPr/>
      <dgm:t>
        <a:bodyPr/>
        <a:lstStyle/>
        <a:p>
          <a:endParaRPr lang="ru-RU"/>
        </a:p>
      </dgm:t>
    </dgm:pt>
    <dgm:pt modelId="{D755D010-03E4-4AA3-BD54-082F259BAE5F}" type="pres">
      <dgm:prSet presAssocID="{35D44FB2-8408-41EC-8F28-75F786BFCE31}" presName="pillarX" presStyleLbl="node1" presStyleIdx="5" presStyleCnt="6">
        <dgm:presLayoutVars>
          <dgm:bulletEnabled val="1"/>
        </dgm:presLayoutVars>
      </dgm:prSet>
      <dgm:spPr/>
      <dgm:t>
        <a:bodyPr/>
        <a:lstStyle/>
        <a:p>
          <a:endParaRPr lang="ru-RU"/>
        </a:p>
      </dgm:t>
    </dgm:pt>
    <dgm:pt modelId="{26F60107-FCB2-4F16-B4E9-326A1DD3C991}" type="pres">
      <dgm:prSet presAssocID="{CC3AD301-A8F3-4C2A-B99B-65CF3D82EFA5}" presName="base" presStyleLbl="dkBgShp" presStyleIdx="1" presStyleCnt="2"/>
      <dgm:spPr/>
    </dgm:pt>
  </dgm:ptLst>
  <dgm:cxnLst>
    <dgm:cxn modelId="{8766588D-111B-4D80-B6A7-D2E46029CFD0}" srcId="{CC3AD301-A8F3-4C2A-B99B-65CF3D82EFA5}" destId="{35D44FB2-8408-41EC-8F28-75F786BFCE31}" srcOrd="5" destOrd="0" parTransId="{29D7492D-83BA-4963-AD83-7FC144A4895A}" sibTransId="{3B9FB0AB-4604-4258-9E00-A4F0756C65BD}"/>
    <dgm:cxn modelId="{00951A35-6B3A-40FC-BC37-6E45A7B52EAB}" type="presOf" srcId="{1C5EE81A-4217-4957-94E5-FA459F67DC48}" destId="{3336997D-A7CD-40B4-9E4D-C3A3C1C28107}" srcOrd="0" destOrd="0" presId="urn:microsoft.com/office/officeart/2005/8/layout/hList3"/>
    <dgm:cxn modelId="{6311CC52-009A-4176-B1D5-34C6EDFA859C}" type="presOf" srcId="{FF0D9ABE-8E26-4486-AF3D-3771385C7DDF}" destId="{EF2EC6C9-E8A7-4376-B4FE-52014ECBB929}" srcOrd="0" destOrd="0" presId="urn:microsoft.com/office/officeart/2005/8/layout/hList3"/>
    <dgm:cxn modelId="{5661CEAA-23BE-4256-81DC-CD0F0AE70F5E}" srcId="{CC3AD301-A8F3-4C2A-B99B-65CF3D82EFA5}" destId="{32D1FD14-7682-4335-BFC7-E47729BA818B}" srcOrd="1" destOrd="0" parTransId="{A0E0F349-7394-4428-A259-FEC9AA1394B7}" sibTransId="{584029AE-20B6-4270-B7FC-B49879F75BB9}"/>
    <dgm:cxn modelId="{B9D2771F-69CF-4F1B-86AF-361FB51BD6E6}" type="presOf" srcId="{CC3AD301-A8F3-4C2A-B99B-65CF3D82EFA5}" destId="{E25984DB-0E34-450B-88E8-B3ACCBBB5099}" srcOrd="0" destOrd="0" presId="urn:microsoft.com/office/officeart/2005/8/layout/hList3"/>
    <dgm:cxn modelId="{49CDB038-AFAA-4E52-969E-E5E1F21665C6}" srcId="{CC3AD301-A8F3-4C2A-B99B-65CF3D82EFA5}" destId="{1C5EE81A-4217-4957-94E5-FA459F67DC48}" srcOrd="4" destOrd="0" parTransId="{E95E432A-9B06-42CD-9BF6-5550684BE8C6}" sibTransId="{61CF7B2F-F1A8-42CF-94AB-D613581CAC57}"/>
    <dgm:cxn modelId="{09A205E0-C2E5-4631-9B3A-B6BD80B681FD}" srcId="{CC3AD301-A8F3-4C2A-B99B-65CF3D82EFA5}" destId="{BF9C9F79-4153-4955-847A-7DE053622913}" srcOrd="3" destOrd="0" parTransId="{B4A6E617-D0CF-4135-97C4-4594EF2B7EBB}" sibTransId="{8FBF20D9-54F5-4CA7-A7A8-B7A4B5007493}"/>
    <dgm:cxn modelId="{16253DE8-40AF-4318-8597-6881D0BFD735}" type="presOf" srcId="{35D44FB2-8408-41EC-8F28-75F786BFCE31}" destId="{D755D010-03E4-4AA3-BD54-082F259BAE5F}" srcOrd="0" destOrd="0" presId="urn:microsoft.com/office/officeart/2005/8/layout/hList3"/>
    <dgm:cxn modelId="{8C0A6C18-80B0-47A6-9CE6-3152B02C6428}" srcId="{CC3AD301-A8F3-4C2A-B99B-65CF3D82EFA5}" destId="{FF0D9ABE-8E26-4486-AF3D-3771385C7DDF}" srcOrd="2" destOrd="0" parTransId="{A3A7C158-A0AE-46BE-AC61-FA96397CAD24}" sibTransId="{90CFAF5C-47D4-45EA-A870-70CFCCA6B694}"/>
    <dgm:cxn modelId="{D56AD9F6-F9EF-4BBD-9177-28E058368EA6}" type="presOf" srcId="{32D1FD14-7682-4335-BFC7-E47729BA818B}" destId="{B9E92206-9FE2-40F6-B380-062C163F1C40}" srcOrd="0" destOrd="0" presId="urn:microsoft.com/office/officeart/2005/8/layout/hList3"/>
    <dgm:cxn modelId="{5983D968-0A83-4086-8E5D-F420DBD0B4CC}" type="presOf" srcId="{554E7FBF-C4AC-4D59-972F-F159C2A4B4F5}" destId="{6F22CF14-471D-4DE0-9562-5B89184D0E21}" srcOrd="0" destOrd="0" presId="urn:microsoft.com/office/officeart/2005/8/layout/hList3"/>
    <dgm:cxn modelId="{E2B14CD6-123A-4249-8FEF-597AAE5293D0}" type="presOf" srcId="{D18E672C-CEB8-4DCF-A3BB-050AA4A23B47}" destId="{8DA54D10-6535-4800-AEBF-1B1712B553C0}" srcOrd="0" destOrd="0" presId="urn:microsoft.com/office/officeart/2005/8/layout/hList3"/>
    <dgm:cxn modelId="{23C9A0EB-D3ED-4A01-AE71-C4C324021E8A}" type="presOf" srcId="{BF9C9F79-4153-4955-847A-7DE053622913}" destId="{99CC4841-03FF-4767-A885-8FCBEDAEB19A}" srcOrd="0" destOrd="0" presId="urn:microsoft.com/office/officeart/2005/8/layout/hList3"/>
    <dgm:cxn modelId="{C926D47C-2C2F-45CA-BAAF-DCA582F323C8}" srcId="{554E7FBF-C4AC-4D59-972F-F159C2A4B4F5}" destId="{CC3AD301-A8F3-4C2A-B99B-65CF3D82EFA5}" srcOrd="0" destOrd="0" parTransId="{EEE685EA-2474-47F7-ADF9-945B8679C97B}" sibTransId="{157FAB3E-5A1D-458A-919F-A6EB7CBF6FAE}"/>
    <dgm:cxn modelId="{982C7FC9-3B57-49BA-9CE9-A8BF652E9C08}" srcId="{CC3AD301-A8F3-4C2A-B99B-65CF3D82EFA5}" destId="{D18E672C-CEB8-4DCF-A3BB-050AA4A23B47}" srcOrd="0" destOrd="0" parTransId="{1F46468E-D340-4FF2-8AC9-F61D602D8691}" sibTransId="{006D9904-74FA-486D-9B1D-4B8ADDB35104}"/>
    <dgm:cxn modelId="{FABF2D0A-304A-4FFB-B50F-2A8E5FC4BC4E}" type="presParOf" srcId="{6F22CF14-471D-4DE0-9562-5B89184D0E21}" destId="{E25984DB-0E34-450B-88E8-B3ACCBBB5099}" srcOrd="0" destOrd="0" presId="urn:microsoft.com/office/officeart/2005/8/layout/hList3"/>
    <dgm:cxn modelId="{4C72F7FF-2530-4163-BDE2-1C3714AFD1BD}" type="presParOf" srcId="{6F22CF14-471D-4DE0-9562-5B89184D0E21}" destId="{2F1EF77F-902F-4574-AB8E-1B52CA2D12E1}" srcOrd="1" destOrd="0" presId="urn:microsoft.com/office/officeart/2005/8/layout/hList3"/>
    <dgm:cxn modelId="{C3877CB4-034F-4098-A195-47FB4E231802}" type="presParOf" srcId="{2F1EF77F-902F-4574-AB8E-1B52CA2D12E1}" destId="{8DA54D10-6535-4800-AEBF-1B1712B553C0}" srcOrd="0" destOrd="0" presId="urn:microsoft.com/office/officeart/2005/8/layout/hList3"/>
    <dgm:cxn modelId="{A17A49F9-D262-4F34-A003-A0DB694B179E}" type="presParOf" srcId="{2F1EF77F-902F-4574-AB8E-1B52CA2D12E1}" destId="{B9E92206-9FE2-40F6-B380-062C163F1C40}" srcOrd="1" destOrd="0" presId="urn:microsoft.com/office/officeart/2005/8/layout/hList3"/>
    <dgm:cxn modelId="{3C11AF7C-3A99-4AC0-8BD3-AC0C855288A2}" type="presParOf" srcId="{2F1EF77F-902F-4574-AB8E-1B52CA2D12E1}" destId="{EF2EC6C9-E8A7-4376-B4FE-52014ECBB929}" srcOrd="2" destOrd="0" presId="urn:microsoft.com/office/officeart/2005/8/layout/hList3"/>
    <dgm:cxn modelId="{B8295A09-1751-4DF7-87B1-7BCD65C7B799}" type="presParOf" srcId="{2F1EF77F-902F-4574-AB8E-1B52CA2D12E1}" destId="{99CC4841-03FF-4767-A885-8FCBEDAEB19A}" srcOrd="3" destOrd="0" presId="urn:microsoft.com/office/officeart/2005/8/layout/hList3"/>
    <dgm:cxn modelId="{EF319B1B-B61B-4C16-B4E1-CA32F1F72D18}" type="presParOf" srcId="{2F1EF77F-902F-4574-AB8E-1B52CA2D12E1}" destId="{3336997D-A7CD-40B4-9E4D-C3A3C1C28107}" srcOrd="4" destOrd="0" presId="urn:microsoft.com/office/officeart/2005/8/layout/hList3"/>
    <dgm:cxn modelId="{BDEFA99B-C2B4-4E9C-8B6C-41BB70680920}" type="presParOf" srcId="{2F1EF77F-902F-4574-AB8E-1B52CA2D12E1}" destId="{D755D010-03E4-4AA3-BD54-082F259BAE5F}" srcOrd="5" destOrd="0" presId="urn:microsoft.com/office/officeart/2005/8/layout/hList3"/>
    <dgm:cxn modelId="{7DFEC463-22E6-4D0D-87AD-E30EEB103A77}" type="presParOf" srcId="{6F22CF14-471D-4DE0-9562-5B89184D0E21}" destId="{26F60107-FCB2-4F16-B4E9-326A1DD3C991}" srcOrd="2" destOrd="0" presId="urn:microsoft.com/office/officeart/2005/8/layout/hList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5984DB-0E34-450B-88E8-B3ACCBBB5099}">
      <dsp:nvSpPr>
        <dsp:cNvPr id="0" name=""/>
        <dsp:cNvSpPr/>
      </dsp:nvSpPr>
      <dsp:spPr>
        <a:xfrm>
          <a:off x="0" y="67481"/>
          <a:ext cx="5810250" cy="220434"/>
        </a:xfrm>
        <a:prstGeom prst="rect">
          <a:avLst/>
        </a:prstGeom>
        <a:gradFill rotWithShape="0">
          <a:gsLst>
            <a:gs pos="0">
              <a:schemeClr val="dk1">
                <a:shade val="80000"/>
                <a:hueOff val="0"/>
                <a:satOff val="0"/>
                <a:lumOff val="0"/>
                <a:alphaOff val="0"/>
                <a:lumMod val="110000"/>
                <a:satMod val="105000"/>
                <a:tint val="67000"/>
              </a:schemeClr>
            </a:gs>
            <a:gs pos="50000">
              <a:schemeClr val="dk1">
                <a:shade val="80000"/>
                <a:hueOff val="0"/>
                <a:satOff val="0"/>
                <a:lumOff val="0"/>
                <a:alphaOff val="0"/>
                <a:lumMod val="105000"/>
                <a:satMod val="103000"/>
                <a:tint val="73000"/>
              </a:schemeClr>
            </a:gs>
            <a:gs pos="100000">
              <a:schemeClr val="dk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Структурно-логічний аналіз чутливості ФБД до ПБ</a:t>
          </a:r>
        </a:p>
      </dsp:txBody>
      <dsp:txXfrm>
        <a:off x="0" y="67481"/>
        <a:ext cx="5810250" cy="220434"/>
      </dsp:txXfrm>
    </dsp:sp>
    <dsp:sp modelId="{8DA54D10-6535-4800-AEBF-1B1712B553C0}">
      <dsp:nvSpPr>
        <dsp:cNvPr id="0" name=""/>
        <dsp:cNvSpPr/>
      </dsp:nvSpPr>
      <dsp:spPr>
        <a:xfrm>
          <a:off x="709" y="440871"/>
          <a:ext cx="829833" cy="108013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І.</a:t>
          </a:r>
        </a:p>
        <a:p>
          <a:pPr lvl="0" algn="ctr" defTabSz="355600">
            <a:lnSpc>
              <a:spcPct val="90000"/>
            </a:lnSpc>
            <a:spcBef>
              <a:spcPct val="0"/>
            </a:spcBef>
            <a:spcAft>
              <a:spcPct val="35000"/>
            </a:spcAft>
          </a:pPr>
          <a:r>
            <a:rPr lang="ru-RU" sz="800" kern="1200"/>
            <a:t>Збір та статистична оброка інформації про рівень податкової заборгованості</a:t>
          </a:r>
        </a:p>
      </dsp:txBody>
      <dsp:txXfrm>
        <a:off x="709" y="440871"/>
        <a:ext cx="829833" cy="1080135"/>
      </dsp:txXfrm>
    </dsp:sp>
    <dsp:sp modelId="{B9E92206-9FE2-40F6-B380-062C163F1C40}">
      <dsp:nvSpPr>
        <dsp:cNvPr id="0" name=""/>
        <dsp:cNvSpPr/>
      </dsp:nvSpPr>
      <dsp:spPr>
        <a:xfrm>
          <a:off x="830542" y="440871"/>
          <a:ext cx="829833" cy="108013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ІІ.</a:t>
          </a:r>
        </a:p>
        <a:p>
          <a:pPr lvl="0" algn="ctr" defTabSz="355600">
            <a:lnSpc>
              <a:spcPct val="90000"/>
            </a:lnSpc>
            <a:spcBef>
              <a:spcPct val="0"/>
            </a:spcBef>
            <a:spcAft>
              <a:spcPct val="35000"/>
            </a:spcAft>
          </a:pPr>
          <a:r>
            <a:rPr lang="ru-RU" sz="800" kern="1200"/>
            <a:t>Збір, статистична оброка інформації фінансовий стан держави </a:t>
          </a:r>
        </a:p>
      </dsp:txBody>
      <dsp:txXfrm>
        <a:off x="830542" y="440871"/>
        <a:ext cx="829833" cy="1080135"/>
      </dsp:txXfrm>
    </dsp:sp>
    <dsp:sp modelId="{EF2EC6C9-E8A7-4376-B4FE-52014ECBB929}">
      <dsp:nvSpPr>
        <dsp:cNvPr id="0" name=""/>
        <dsp:cNvSpPr/>
      </dsp:nvSpPr>
      <dsp:spPr>
        <a:xfrm>
          <a:off x="1660375" y="440871"/>
          <a:ext cx="829833" cy="108013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ІІІ. Структурний аналіз ФБД</a:t>
          </a:r>
        </a:p>
      </dsp:txBody>
      <dsp:txXfrm>
        <a:off x="1660375" y="440871"/>
        <a:ext cx="829833" cy="1080135"/>
      </dsp:txXfrm>
    </dsp:sp>
    <dsp:sp modelId="{99CC4841-03FF-4767-A885-8FCBEDAEB19A}">
      <dsp:nvSpPr>
        <dsp:cNvPr id="0" name=""/>
        <dsp:cNvSpPr/>
      </dsp:nvSpPr>
      <dsp:spPr>
        <a:xfrm>
          <a:off x="2490208" y="440871"/>
          <a:ext cx="829833" cy="108013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ІІІ.</a:t>
          </a:r>
        </a:p>
        <a:p>
          <a:pPr lvl="0" algn="ctr" defTabSz="355600">
            <a:lnSpc>
              <a:spcPct val="90000"/>
            </a:lnSpc>
            <a:spcBef>
              <a:spcPct val="0"/>
            </a:spcBef>
            <a:spcAft>
              <a:spcPct val="35000"/>
            </a:spcAft>
          </a:pPr>
          <a:r>
            <a:rPr lang="ru-RU" sz="800" kern="1200"/>
            <a:t>Гіпотеза щодо взаємозв</a:t>
          </a:r>
          <a:r>
            <a:rPr lang="ru-RU" sz="800" kern="1200">
              <a:latin typeface="Times New Roman"/>
              <a:cs typeface="Times New Roman"/>
            </a:rPr>
            <a:t>’</a:t>
          </a:r>
          <a:r>
            <a:rPr lang="ru-RU" sz="800" kern="1200"/>
            <a:t>язків між ПБ та складовими ФБД </a:t>
          </a:r>
        </a:p>
      </dsp:txBody>
      <dsp:txXfrm>
        <a:off x="2490208" y="440871"/>
        <a:ext cx="829833" cy="1080135"/>
      </dsp:txXfrm>
    </dsp:sp>
    <dsp:sp modelId="{3336997D-A7CD-40B4-9E4D-C3A3C1C28107}">
      <dsp:nvSpPr>
        <dsp:cNvPr id="0" name=""/>
        <dsp:cNvSpPr/>
      </dsp:nvSpPr>
      <dsp:spPr>
        <a:xfrm>
          <a:off x="3320041" y="440871"/>
          <a:ext cx="829833" cy="108013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IV.</a:t>
          </a:r>
        </a:p>
        <a:p>
          <a:pPr lvl="0" algn="ctr" defTabSz="355600">
            <a:lnSpc>
              <a:spcPct val="90000"/>
            </a:lnSpc>
            <a:spcBef>
              <a:spcPct val="0"/>
            </a:spcBef>
            <a:spcAft>
              <a:spcPct val="35000"/>
            </a:spcAft>
          </a:pPr>
          <a:r>
            <a:rPr lang="ru-RU" sz="800" kern="1200"/>
            <a:t>Експертна оцінка порогових значень показників, чутливих до ПБ</a:t>
          </a:r>
        </a:p>
      </dsp:txBody>
      <dsp:txXfrm>
        <a:off x="3320041" y="440871"/>
        <a:ext cx="829833" cy="1080135"/>
      </dsp:txXfrm>
    </dsp:sp>
    <dsp:sp modelId="{D755D010-03E4-4AA3-BD54-082F259BAE5F}">
      <dsp:nvSpPr>
        <dsp:cNvPr id="0" name=""/>
        <dsp:cNvSpPr/>
      </dsp:nvSpPr>
      <dsp:spPr>
        <a:xfrm>
          <a:off x="4149874" y="440871"/>
          <a:ext cx="829833" cy="108013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a:t>
          </a:r>
        </a:p>
        <a:p>
          <a:pPr lvl="0" algn="ctr" defTabSz="355600">
            <a:lnSpc>
              <a:spcPct val="90000"/>
            </a:lnSpc>
            <a:spcBef>
              <a:spcPct val="0"/>
            </a:spcBef>
            <a:spcAft>
              <a:spcPct val="35000"/>
            </a:spcAft>
          </a:pPr>
          <a:r>
            <a:rPr lang="ru-RU" sz="800" kern="1200"/>
            <a:t> Порівняння фактичних показників ФБД  із граничними</a:t>
          </a:r>
        </a:p>
      </dsp:txBody>
      <dsp:txXfrm>
        <a:off x="4149874" y="440871"/>
        <a:ext cx="829833" cy="1080135"/>
      </dsp:txXfrm>
    </dsp:sp>
    <dsp:sp modelId="{0FCD2BBF-B499-458F-B8DF-52DF0B4F572D}">
      <dsp:nvSpPr>
        <dsp:cNvPr id="0" name=""/>
        <dsp:cNvSpPr/>
      </dsp:nvSpPr>
      <dsp:spPr>
        <a:xfrm>
          <a:off x="4979707" y="440871"/>
          <a:ext cx="829833" cy="108013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VI.</a:t>
          </a:r>
        </a:p>
        <a:p>
          <a:pPr lvl="0" algn="ctr" defTabSz="355600">
            <a:lnSpc>
              <a:spcPct val="90000"/>
            </a:lnSpc>
            <a:spcBef>
              <a:spcPct val="0"/>
            </a:spcBef>
            <a:spcAft>
              <a:spcPct val="35000"/>
            </a:spcAft>
          </a:pPr>
          <a:r>
            <a:rPr lang="ru-RU" sz="800" kern="1200"/>
            <a:t>Формулювання висновків щодо стану  ФБД за обраними показниками</a:t>
          </a:r>
        </a:p>
      </dsp:txBody>
      <dsp:txXfrm>
        <a:off x="4979707" y="440871"/>
        <a:ext cx="829833" cy="1080135"/>
      </dsp:txXfrm>
    </dsp:sp>
    <dsp:sp modelId="{26F60107-FCB2-4F16-B4E9-326A1DD3C991}">
      <dsp:nvSpPr>
        <dsp:cNvPr id="0" name=""/>
        <dsp:cNvSpPr/>
      </dsp:nvSpPr>
      <dsp:spPr>
        <a:xfrm>
          <a:off x="0" y="1521006"/>
          <a:ext cx="5810250" cy="120015"/>
        </a:xfrm>
        <a:prstGeom prst="rect">
          <a:avLst/>
        </a:prstGeom>
        <a:gradFill rotWithShape="0">
          <a:gsLst>
            <a:gs pos="0">
              <a:schemeClr val="dk1">
                <a:shade val="80000"/>
                <a:hueOff val="0"/>
                <a:satOff val="0"/>
                <a:lumOff val="0"/>
                <a:alphaOff val="0"/>
                <a:lumMod val="110000"/>
                <a:satMod val="105000"/>
                <a:tint val="67000"/>
              </a:schemeClr>
            </a:gs>
            <a:gs pos="50000">
              <a:schemeClr val="dk1">
                <a:shade val="80000"/>
                <a:hueOff val="0"/>
                <a:satOff val="0"/>
                <a:lumOff val="0"/>
                <a:alphaOff val="0"/>
                <a:lumMod val="105000"/>
                <a:satMod val="103000"/>
                <a:tint val="73000"/>
              </a:schemeClr>
            </a:gs>
            <a:gs pos="100000">
              <a:schemeClr val="dk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5984DB-0E34-450B-88E8-B3ACCBBB5099}">
      <dsp:nvSpPr>
        <dsp:cNvPr id="0" name=""/>
        <dsp:cNvSpPr/>
      </dsp:nvSpPr>
      <dsp:spPr>
        <a:xfrm>
          <a:off x="0" y="0"/>
          <a:ext cx="6191250" cy="202065"/>
        </a:xfrm>
        <a:prstGeom prst="rect">
          <a:avLst/>
        </a:prstGeom>
        <a:gradFill rotWithShape="0">
          <a:gsLst>
            <a:gs pos="0">
              <a:schemeClr val="dk1">
                <a:shade val="80000"/>
                <a:hueOff val="0"/>
                <a:satOff val="0"/>
                <a:lumOff val="0"/>
                <a:alphaOff val="0"/>
                <a:lumMod val="110000"/>
                <a:satMod val="105000"/>
                <a:tint val="67000"/>
              </a:schemeClr>
            </a:gs>
            <a:gs pos="50000">
              <a:schemeClr val="dk1">
                <a:shade val="80000"/>
                <a:hueOff val="0"/>
                <a:satOff val="0"/>
                <a:lumOff val="0"/>
                <a:alphaOff val="0"/>
                <a:lumMod val="105000"/>
                <a:satMod val="103000"/>
                <a:tint val="73000"/>
              </a:schemeClr>
            </a:gs>
            <a:gs pos="100000">
              <a:schemeClr val="dk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 Моделювання впливу ПБ на ФБД </a:t>
          </a:r>
        </a:p>
      </dsp:txBody>
      <dsp:txXfrm>
        <a:off x="0" y="0"/>
        <a:ext cx="6191250" cy="202065"/>
      </dsp:txXfrm>
    </dsp:sp>
    <dsp:sp modelId="{8DA54D10-6535-4800-AEBF-1B1712B553C0}">
      <dsp:nvSpPr>
        <dsp:cNvPr id="0" name=""/>
        <dsp:cNvSpPr/>
      </dsp:nvSpPr>
      <dsp:spPr>
        <a:xfrm>
          <a:off x="2791" y="404131"/>
          <a:ext cx="1011217" cy="99012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І.</a:t>
          </a:r>
        </a:p>
        <a:p>
          <a:pPr lvl="0" algn="ctr" defTabSz="355600">
            <a:lnSpc>
              <a:spcPct val="90000"/>
            </a:lnSpc>
            <a:spcBef>
              <a:spcPct val="0"/>
            </a:spcBef>
            <a:spcAft>
              <a:spcPct val="35000"/>
            </a:spcAft>
          </a:pPr>
          <a:r>
            <a:rPr lang="ru-RU" sz="800" kern="1200"/>
            <a:t>Формування масиву вихідних даних</a:t>
          </a:r>
        </a:p>
      </dsp:txBody>
      <dsp:txXfrm>
        <a:off x="2791" y="404131"/>
        <a:ext cx="1011217" cy="990123"/>
      </dsp:txXfrm>
    </dsp:sp>
    <dsp:sp modelId="{B9E92206-9FE2-40F6-B380-062C163F1C40}">
      <dsp:nvSpPr>
        <dsp:cNvPr id="0" name=""/>
        <dsp:cNvSpPr/>
      </dsp:nvSpPr>
      <dsp:spPr>
        <a:xfrm>
          <a:off x="1014008" y="404131"/>
          <a:ext cx="1011217" cy="99012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ІІ.</a:t>
          </a:r>
        </a:p>
        <a:p>
          <a:pPr lvl="0" algn="ctr" defTabSz="355600">
            <a:lnSpc>
              <a:spcPct val="90000"/>
            </a:lnSpc>
            <a:spcBef>
              <a:spcPct val="0"/>
            </a:spcBef>
            <a:spcAft>
              <a:spcPct val="35000"/>
            </a:spcAft>
          </a:pPr>
          <a:r>
            <a:rPr lang="ru-RU" sz="800" kern="1200"/>
            <a:t>Побудова логічного ланцюга із факторних та результативних показників </a:t>
          </a:r>
        </a:p>
      </dsp:txBody>
      <dsp:txXfrm>
        <a:off x="1014008" y="404131"/>
        <a:ext cx="1011217" cy="990123"/>
      </dsp:txXfrm>
    </dsp:sp>
    <dsp:sp modelId="{EF2EC6C9-E8A7-4376-B4FE-52014ECBB929}">
      <dsp:nvSpPr>
        <dsp:cNvPr id="0" name=""/>
        <dsp:cNvSpPr/>
      </dsp:nvSpPr>
      <dsp:spPr>
        <a:xfrm>
          <a:off x="2060901" y="404131"/>
          <a:ext cx="1129580" cy="99012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ІІІ. Використання  ШНМ з РБФ </a:t>
          </a:r>
        </a:p>
      </dsp:txBody>
      <dsp:txXfrm>
        <a:off x="2060901" y="404131"/>
        <a:ext cx="1129580" cy="990123"/>
      </dsp:txXfrm>
    </dsp:sp>
    <dsp:sp modelId="{99CC4841-03FF-4767-A885-8FCBEDAEB19A}">
      <dsp:nvSpPr>
        <dsp:cNvPr id="0" name=""/>
        <dsp:cNvSpPr/>
      </dsp:nvSpPr>
      <dsp:spPr>
        <a:xfrm>
          <a:off x="3154806" y="404131"/>
          <a:ext cx="1011217" cy="99012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ІІІ.</a:t>
          </a:r>
        </a:p>
        <a:p>
          <a:pPr lvl="0" algn="ctr" defTabSz="355600">
            <a:lnSpc>
              <a:spcPct val="90000"/>
            </a:lnSpc>
            <a:spcBef>
              <a:spcPct val="0"/>
            </a:spcBef>
            <a:spcAft>
              <a:spcPct val="35000"/>
            </a:spcAft>
          </a:pPr>
          <a:r>
            <a:rPr lang="ru-RU" sz="800" kern="1200"/>
            <a:t>Обробка результатів ШНМ з РБФ</a:t>
          </a:r>
        </a:p>
      </dsp:txBody>
      <dsp:txXfrm>
        <a:off x="3154806" y="404131"/>
        <a:ext cx="1011217" cy="990123"/>
      </dsp:txXfrm>
    </dsp:sp>
    <dsp:sp modelId="{3336997D-A7CD-40B4-9E4D-C3A3C1C28107}">
      <dsp:nvSpPr>
        <dsp:cNvPr id="0" name=""/>
        <dsp:cNvSpPr/>
      </dsp:nvSpPr>
      <dsp:spPr>
        <a:xfrm>
          <a:off x="4166023" y="404131"/>
          <a:ext cx="1011217" cy="99012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IV.</a:t>
          </a:r>
        </a:p>
        <a:p>
          <a:pPr lvl="0" algn="ctr" defTabSz="355600">
            <a:lnSpc>
              <a:spcPct val="90000"/>
            </a:lnSpc>
            <a:spcBef>
              <a:spcPct val="0"/>
            </a:spcBef>
            <a:spcAft>
              <a:spcPct val="35000"/>
            </a:spcAft>
          </a:pPr>
          <a:r>
            <a:rPr lang="ru-RU" sz="800" kern="1200"/>
            <a:t>Формулювання висновків щодо залежності окремих індикаторів ФБД від ПБ</a:t>
          </a:r>
        </a:p>
      </dsp:txBody>
      <dsp:txXfrm>
        <a:off x="4166023" y="404131"/>
        <a:ext cx="1011217" cy="990123"/>
      </dsp:txXfrm>
    </dsp:sp>
    <dsp:sp modelId="{D755D010-03E4-4AA3-BD54-082F259BAE5F}">
      <dsp:nvSpPr>
        <dsp:cNvPr id="0" name=""/>
        <dsp:cNvSpPr/>
      </dsp:nvSpPr>
      <dsp:spPr>
        <a:xfrm>
          <a:off x="5177241" y="404131"/>
          <a:ext cx="1011217" cy="99012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a:t>
          </a:r>
        </a:p>
        <a:p>
          <a:pPr lvl="0" algn="ctr" defTabSz="355600">
            <a:lnSpc>
              <a:spcPct val="90000"/>
            </a:lnSpc>
            <a:spcBef>
              <a:spcPct val="0"/>
            </a:spcBef>
            <a:spcAft>
              <a:spcPct val="35000"/>
            </a:spcAft>
          </a:pPr>
          <a:r>
            <a:rPr lang="ru-RU" sz="800" kern="1200"/>
            <a:t>Економічна інтерпретація результатів</a:t>
          </a:r>
        </a:p>
      </dsp:txBody>
      <dsp:txXfrm>
        <a:off x="5177241" y="404131"/>
        <a:ext cx="1011217" cy="990123"/>
      </dsp:txXfrm>
    </dsp:sp>
    <dsp:sp modelId="{26F60107-FCB2-4F16-B4E9-326A1DD3C991}">
      <dsp:nvSpPr>
        <dsp:cNvPr id="0" name=""/>
        <dsp:cNvSpPr/>
      </dsp:nvSpPr>
      <dsp:spPr>
        <a:xfrm>
          <a:off x="0" y="1394255"/>
          <a:ext cx="6191250" cy="110013"/>
        </a:xfrm>
        <a:prstGeom prst="rect">
          <a:avLst/>
        </a:prstGeom>
        <a:gradFill rotWithShape="0">
          <a:gsLst>
            <a:gs pos="0">
              <a:schemeClr val="dk1">
                <a:shade val="80000"/>
                <a:hueOff val="0"/>
                <a:satOff val="0"/>
                <a:lumOff val="0"/>
                <a:alphaOff val="0"/>
                <a:lumMod val="110000"/>
                <a:satMod val="105000"/>
                <a:tint val="67000"/>
              </a:schemeClr>
            </a:gs>
            <a:gs pos="50000">
              <a:schemeClr val="dk1">
                <a:shade val="80000"/>
                <a:hueOff val="0"/>
                <a:satOff val="0"/>
                <a:lumOff val="0"/>
                <a:alphaOff val="0"/>
                <a:lumMod val="105000"/>
                <a:satMod val="103000"/>
                <a:tint val="73000"/>
              </a:schemeClr>
            </a:gs>
            <a:gs pos="100000">
              <a:schemeClr val="dk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90951-9030-4483-9642-DBD8EE55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10</Pages>
  <Words>13677</Words>
  <Characters>7797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116</cp:revision>
  <dcterms:created xsi:type="dcterms:W3CDTF">2015-05-03T21:59:00Z</dcterms:created>
  <dcterms:modified xsi:type="dcterms:W3CDTF">2015-05-14T19:48:00Z</dcterms:modified>
</cp:coreProperties>
</file>