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C78A6" w:rsidRDefault="004C78A6" w:rsidP="004C78A6">
      <w:pPr>
        <w:shd w:val="clear" w:color="auto" w:fill="FFFFFF"/>
        <w:tabs>
          <w:tab w:val="left" w:pos="989"/>
          <w:tab w:val="left" w:pos="3053"/>
        </w:tabs>
        <w:spacing w:line="360" w:lineRule="auto"/>
        <w:ind w:left="96"/>
        <w:jc w:val="center"/>
        <w:rPr>
          <w:sz w:val="28"/>
          <w:szCs w:val="28"/>
        </w:rPr>
      </w:pPr>
      <w:r w:rsidRPr="004C78A6">
        <w:rPr>
          <w:rFonts w:eastAsia="Times New Roman"/>
          <w:sz w:val="28"/>
          <w:szCs w:val="28"/>
        </w:rPr>
        <w:t xml:space="preserve">Колесніков </w:t>
      </w:r>
      <w:r w:rsidRPr="004C78A6">
        <w:rPr>
          <w:rFonts w:eastAsia="Times New Roman"/>
          <w:sz w:val="28"/>
          <w:szCs w:val="28"/>
          <w:lang w:val="ru-RU"/>
        </w:rPr>
        <w:t>А.П.</w:t>
      </w:r>
    </w:p>
    <w:p w:rsidR="00000000" w:rsidRPr="004C78A6" w:rsidRDefault="004C78A6" w:rsidP="004C78A6">
      <w:pPr>
        <w:shd w:val="clear" w:color="auto" w:fill="FFFFFF"/>
        <w:spacing w:line="360" w:lineRule="auto"/>
        <w:ind w:right="922" w:firstLine="709"/>
        <w:jc w:val="center"/>
        <w:rPr>
          <w:sz w:val="28"/>
          <w:szCs w:val="28"/>
        </w:rPr>
      </w:pPr>
      <w:r w:rsidRPr="004C78A6">
        <w:rPr>
          <w:rFonts w:eastAsia="Times New Roman"/>
          <w:i/>
          <w:iCs/>
          <w:sz w:val="28"/>
          <w:szCs w:val="28"/>
        </w:rPr>
        <w:t xml:space="preserve">Тернопільський національний економічний університет </w:t>
      </w:r>
      <w:r>
        <w:rPr>
          <w:rFonts w:eastAsia="Times New Roman"/>
          <w:sz w:val="28"/>
          <w:szCs w:val="28"/>
        </w:rPr>
        <w:t>УПРАВЛІННЯ ПРОМЕСАМИ ПІДГОТОВКИ</w:t>
      </w:r>
      <w:r w:rsidRPr="004C78A6">
        <w:rPr>
          <w:rFonts w:eastAsia="Times New Roman"/>
          <w:sz w:val="28"/>
          <w:szCs w:val="28"/>
        </w:rPr>
        <w:t xml:space="preserve"> ВИРОБНИЦТВА В КОНТЕКСТІ ІННОВАЦІЙНОЇ ДІЯЛЬНОСТІ ПІДПРИЄМСТВ</w:t>
      </w:r>
    </w:p>
    <w:p w:rsidR="00000000" w:rsidRPr="004C78A6" w:rsidRDefault="004C78A6" w:rsidP="004C78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78A6">
        <w:rPr>
          <w:rFonts w:eastAsia="Times New Roman"/>
          <w:i/>
          <w:iCs/>
          <w:sz w:val="28"/>
          <w:szCs w:val="28"/>
        </w:rPr>
        <w:t xml:space="preserve">Ключові </w:t>
      </w:r>
      <w:r w:rsidRPr="004C78A6">
        <w:rPr>
          <w:rFonts w:eastAsia="Times New Roman"/>
          <w:i/>
          <w:iCs/>
          <w:sz w:val="28"/>
          <w:szCs w:val="28"/>
          <w:lang w:val="ru-RU"/>
        </w:rPr>
        <w:t xml:space="preserve">снова: </w:t>
      </w:r>
      <w:r w:rsidRPr="004C78A6">
        <w:rPr>
          <w:rFonts w:eastAsia="Times New Roman"/>
          <w:sz w:val="28"/>
          <w:szCs w:val="28"/>
        </w:rPr>
        <w:t xml:space="preserve">інноваційні процеси, підготовка виробництва, </w:t>
      </w:r>
      <w:r>
        <w:rPr>
          <w:rFonts w:eastAsia="Times New Roman"/>
          <w:sz w:val="28"/>
          <w:szCs w:val="28"/>
        </w:rPr>
        <w:t>у</w:t>
      </w:r>
      <w:r w:rsidRPr="004C78A6">
        <w:rPr>
          <w:rFonts w:eastAsia="Times New Roman"/>
          <w:sz w:val="28"/>
          <w:szCs w:val="28"/>
        </w:rPr>
        <w:t>правління</w:t>
      </w:r>
    </w:p>
    <w:p w:rsidR="004C78A6" w:rsidRDefault="004C78A6" w:rsidP="004C78A6">
      <w:pPr>
        <w:shd w:val="clear" w:color="auto" w:fill="FFFFFF"/>
        <w:spacing w:line="360" w:lineRule="auto"/>
        <w:ind w:left="29" w:firstLine="394"/>
        <w:jc w:val="both"/>
        <w:rPr>
          <w:rFonts w:eastAsia="Times New Roman"/>
          <w:sz w:val="28"/>
          <w:szCs w:val="28"/>
        </w:rPr>
      </w:pPr>
    </w:p>
    <w:p w:rsidR="00000000" w:rsidRPr="004C78A6" w:rsidRDefault="004C78A6" w:rsidP="004C78A6">
      <w:pPr>
        <w:shd w:val="clear" w:color="auto" w:fill="FFFFFF"/>
        <w:spacing w:line="360" w:lineRule="auto"/>
        <w:ind w:left="29" w:firstLine="394"/>
        <w:jc w:val="both"/>
        <w:rPr>
          <w:sz w:val="28"/>
          <w:szCs w:val="28"/>
        </w:rPr>
      </w:pPr>
      <w:r w:rsidRPr="004C78A6">
        <w:rPr>
          <w:rFonts w:eastAsia="Times New Roman"/>
          <w:sz w:val="28"/>
          <w:szCs w:val="28"/>
        </w:rPr>
        <w:t>Виділення п</w:t>
      </w:r>
      <w:r w:rsidRPr="004C78A6">
        <w:rPr>
          <w:rFonts w:eastAsia="Times New Roman"/>
          <w:sz w:val="28"/>
          <w:szCs w:val="28"/>
        </w:rPr>
        <w:t xml:space="preserve">роцесу підготовки і </w:t>
      </w:r>
      <w:r>
        <w:rPr>
          <w:rFonts w:eastAsia="Times New Roman"/>
          <w:sz w:val="28"/>
          <w:szCs w:val="28"/>
        </w:rPr>
        <w:t>освоєнн</w:t>
      </w:r>
      <w:r w:rsidRPr="004C78A6">
        <w:rPr>
          <w:rFonts w:eastAsia="Times New Roman"/>
          <w:sz w:val="28"/>
          <w:szCs w:val="28"/>
        </w:rPr>
        <w:t xml:space="preserve">я </w:t>
      </w:r>
      <w:r w:rsidRPr="004C78A6">
        <w:rPr>
          <w:rFonts w:eastAsia="Times New Roman"/>
          <w:sz w:val="28"/>
          <w:szCs w:val="28"/>
        </w:rPr>
        <w:t xml:space="preserve">виробництва нової продукції в окрему структурну одиницю діяльності підприємств ставить якісно нові вимоги щодо необхідності чіткої організації управління ним. Важливою умовою оптимізації інноваційного процесу є скорочення його </w:t>
      </w:r>
      <w:r>
        <w:rPr>
          <w:rFonts w:eastAsia="Times New Roman"/>
          <w:sz w:val="28"/>
          <w:szCs w:val="28"/>
        </w:rPr>
        <w:t>тривалості. Зважаючи на те, щ</w:t>
      </w:r>
      <w:r w:rsidRPr="004C78A6">
        <w:rPr>
          <w:rFonts w:eastAsia="Times New Roman"/>
          <w:sz w:val="28"/>
          <w:szCs w:val="28"/>
        </w:rPr>
        <w:t>о значна частка інноваційного циклу припадає на етап підготовки виробництва нової продукції, варто приділити окрему увагу саме цьому елементу.</w:t>
      </w:r>
    </w:p>
    <w:p w:rsidR="00000000" w:rsidRPr="004C78A6" w:rsidRDefault="004C78A6" w:rsidP="004C78A6">
      <w:pPr>
        <w:shd w:val="clear" w:color="auto" w:fill="FFFFFF"/>
        <w:spacing w:line="360" w:lineRule="auto"/>
        <w:ind w:left="29" w:firstLine="403"/>
        <w:jc w:val="both"/>
        <w:rPr>
          <w:sz w:val="28"/>
          <w:szCs w:val="28"/>
        </w:rPr>
      </w:pPr>
      <w:r w:rsidRPr="004C78A6">
        <w:rPr>
          <w:rFonts w:eastAsia="Times New Roman"/>
          <w:sz w:val="28"/>
          <w:szCs w:val="28"/>
        </w:rPr>
        <w:t>Управлі</w:t>
      </w:r>
      <w:r>
        <w:rPr>
          <w:rFonts w:eastAsia="Times New Roman"/>
          <w:sz w:val="28"/>
          <w:szCs w:val="28"/>
        </w:rPr>
        <w:t xml:space="preserve">ння підготовкою виробництва </w:t>
      </w:r>
      <w:proofErr w:type="spellStart"/>
      <w:r>
        <w:rPr>
          <w:rFonts w:eastAsia="Times New Roman"/>
          <w:sz w:val="28"/>
          <w:szCs w:val="28"/>
        </w:rPr>
        <w:t>сп</w:t>
      </w:r>
      <w:r w:rsidRPr="004C78A6">
        <w:rPr>
          <w:rFonts w:eastAsia="Times New Roman"/>
          <w:sz w:val="28"/>
          <w:szCs w:val="28"/>
        </w:rPr>
        <w:t>римоване</w:t>
      </w:r>
      <w:proofErr w:type="spellEnd"/>
      <w:r w:rsidRPr="004C78A6">
        <w:rPr>
          <w:rFonts w:eastAsia="Times New Roman"/>
          <w:sz w:val="28"/>
          <w:szCs w:val="28"/>
        </w:rPr>
        <w:t xml:space="preserve"> на інтенсифікацію науково-технічного</w:t>
      </w:r>
      <w:r w:rsidRPr="004C78A6">
        <w:rPr>
          <w:rFonts w:eastAsia="Times New Roman"/>
          <w:sz w:val="28"/>
          <w:szCs w:val="28"/>
        </w:rPr>
        <w:t xml:space="preserve"> розвитку як окремого підприємства так і галузі в цілому, тому його можна вважати управлінням науково-технічним прогресом у сфері виробництва. З цього випливає, що підготовка виробництва є важливою передумовою досягнення необхідних показників якісного і кі</w:t>
      </w:r>
      <w:r w:rsidRPr="004C78A6">
        <w:rPr>
          <w:rFonts w:eastAsia="Times New Roman"/>
          <w:sz w:val="28"/>
          <w:szCs w:val="28"/>
        </w:rPr>
        <w:t>лькісного темпів росту продукції. Шляхом налагодження чіткої організації управління всіма складовими від фундаментальних досліджень до їх матеріальної реалізації можна забезпечити виконання даного завдання.</w:t>
      </w:r>
    </w:p>
    <w:p w:rsidR="00000000" w:rsidRPr="004C78A6" w:rsidRDefault="004C78A6" w:rsidP="004C78A6">
      <w:pPr>
        <w:shd w:val="clear" w:color="auto" w:fill="FFFFFF"/>
        <w:spacing w:line="360" w:lineRule="auto"/>
        <w:ind w:left="29" w:right="10" w:firstLine="403"/>
        <w:jc w:val="both"/>
        <w:rPr>
          <w:sz w:val="28"/>
          <w:szCs w:val="28"/>
        </w:rPr>
      </w:pPr>
      <w:r w:rsidRPr="004C78A6">
        <w:rPr>
          <w:rFonts w:eastAsia="Times New Roman"/>
          <w:sz w:val="28"/>
          <w:szCs w:val="28"/>
        </w:rPr>
        <w:t>Під організацією управління розуміють ефективне п</w:t>
      </w:r>
      <w:r w:rsidRPr="004C78A6">
        <w:rPr>
          <w:rFonts w:eastAsia="Times New Roman"/>
          <w:sz w:val="28"/>
          <w:szCs w:val="28"/>
        </w:rPr>
        <w:t>оєднання у часі та просторі всіх елементів (матеріальних, трудо</w:t>
      </w:r>
      <w:r>
        <w:rPr>
          <w:rFonts w:eastAsia="Times New Roman"/>
          <w:sz w:val="28"/>
          <w:szCs w:val="28"/>
        </w:rPr>
        <w:t xml:space="preserve">вих, інформаційних) управління, та </w:t>
      </w:r>
      <w:r w:rsidRPr="004C78A6">
        <w:rPr>
          <w:rFonts w:eastAsia="Times New Roman"/>
          <w:sz w:val="28"/>
          <w:szCs w:val="28"/>
        </w:rPr>
        <w:t>його процесів. Згідно іншого твердження, управління підготовкою виробництва включає комплекс заходів, спрямованих на проектування та виробництво нових виробів</w:t>
      </w:r>
      <w:r w:rsidRPr="004C78A6">
        <w:rPr>
          <w:rFonts w:eastAsia="Times New Roman"/>
          <w:sz w:val="28"/>
          <w:szCs w:val="28"/>
        </w:rPr>
        <w:t xml:space="preserve"> та забезпе</w:t>
      </w:r>
      <w:r>
        <w:rPr>
          <w:rFonts w:eastAsia="Times New Roman"/>
          <w:sz w:val="28"/>
          <w:szCs w:val="28"/>
        </w:rPr>
        <w:t>чення нормального процесу підгото</w:t>
      </w:r>
      <w:r w:rsidRPr="004C78A6">
        <w:rPr>
          <w:rFonts w:eastAsia="Times New Roman"/>
          <w:sz w:val="28"/>
          <w:szCs w:val="28"/>
        </w:rPr>
        <w:t>вки виробництва.</w:t>
      </w:r>
    </w:p>
    <w:p w:rsidR="00000000" w:rsidRPr="004C78A6" w:rsidRDefault="004C78A6" w:rsidP="004C78A6">
      <w:pPr>
        <w:shd w:val="clear" w:color="auto" w:fill="FFFFFF"/>
        <w:spacing w:line="360" w:lineRule="auto"/>
        <w:ind w:left="19" w:right="19" w:firstLine="394"/>
        <w:jc w:val="both"/>
        <w:rPr>
          <w:sz w:val="28"/>
          <w:szCs w:val="28"/>
        </w:rPr>
      </w:pPr>
      <w:r w:rsidRPr="004C78A6">
        <w:rPr>
          <w:rFonts w:eastAsia="Times New Roman"/>
          <w:sz w:val="28"/>
          <w:szCs w:val="28"/>
        </w:rPr>
        <w:t xml:space="preserve">Окремі елементи підготовки застосовуються на всіх етапах інноваційного циклу тому, виходячи з загальної структури інноваційного процесу </w:t>
      </w:r>
      <w:r w:rsidRPr="004C78A6">
        <w:rPr>
          <w:rFonts w:eastAsia="Times New Roman"/>
          <w:sz w:val="28"/>
          <w:szCs w:val="28"/>
        </w:rPr>
        <w:lastRenderedPageBreak/>
        <w:t>«наука-технІка-виробництво», виникає необхідність комплексно</w:t>
      </w:r>
      <w:r w:rsidRPr="004C78A6">
        <w:rPr>
          <w:rFonts w:eastAsia="Times New Roman"/>
          <w:sz w:val="28"/>
          <w:szCs w:val="28"/>
        </w:rPr>
        <w:t xml:space="preserve">го управління всім циклом і кожним елементом </w:t>
      </w:r>
      <w:r>
        <w:rPr>
          <w:rFonts w:eastAsia="Times New Roman"/>
          <w:sz w:val="28"/>
          <w:szCs w:val="28"/>
        </w:rPr>
        <w:t>зо</w:t>
      </w:r>
      <w:r w:rsidRPr="004C78A6">
        <w:rPr>
          <w:rFonts w:eastAsia="Times New Roman"/>
          <w:sz w:val="28"/>
          <w:szCs w:val="28"/>
        </w:rPr>
        <w:t xml:space="preserve">крема, Кожен з цих етапів передбачає використання окремих специфічних методів управління, </w:t>
      </w:r>
      <w:r>
        <w:rPr>
          <w:rFonts w:eastAsia="Times New Roman"/>
          <w:sz w:val="28"/>
          <w:szCs w:val="28"/>
        </w:rPr>
        <w:t>щ</w:t>
      </w:r>
      <w:r w:rsidRPr="004C78A6">
        <w:rPr>
          <w:rFonts w:eastAsia="Times New Roman"/>
          <w:sz w:val="28"/>
          <w:szCs w:val="28"/>
        </w:rPr>
        <w:t>о залежать від впливу багатьох чинників, таких як: державна і місцева підтримка наукових досліджень та створення умов д</w:t>
      </w:r>
      <w:r w:rsidRPr="004C78A6">
        <w:rPr>
          <w:rFonts w:eastAsia="Times New Roman"/>
          <w:sz w:val="28"/>
          <w:szCs w:val="28"/>
        </w:rPr>
        <w:t>ля їх матеріалізації, специфіка конструкції машин, рівень технолог</w:t>
      </w:r>
      <w:r>
        <w:rPr>
          <w:rFonts w:eastAsia="Times New Roman"/>
          <w:sz w:val="28"/>
          <w:szCs w:val="28"/>
        </w:rPr>
        <w:t>ії, організації виробництва та і</w:t>
      </w:r>
      <w:r w:rsidRPr="004C78A6">
        <w:rPr>
          <w:rFonts w:eastAsia="Times New Roman"/>
          <w:sz w:val="28"/>
          <w:szCs w:val="28"/>
        </w:rPr>
        <w:t>н. Але, разом з тим, є певне коло спільних питань, які і лежать в основі формування методів управління підготовкою виробництва на кожному окремому підприємств</w:t>
      </w:r>
      <w:r w:rsidRPr="004C78A6">
        <w:rPr>
          <w:rFonts w:eastAsia="Times New Roman"/>
          <w:sz w:val="28"/>
          <w:szCs w:val="28"/>
        </w:rPr>
        <w:t>і, а саме; формування структури управління (послідовність здійснення); вироблення технології управління (способи здійснення управління); технічне обладнання (засоби здійснення управління).</w:t>
      </w:r>
    </w:p>
    <w:p w:rsidR="00000000" w:rsidRPr="004C78A6" w:rsidRDefault="004C78A6" w:rsidP="004C78A6">
      <w:pPr>
        <w:shd w:val="clear" w:color="auto" w:fill="FFFFFF"/>
        <w:spacing w:line="360" w:lineRule="auto"/>
        <w:ind w:left="10" w:right="29" w:firstLine="384"/>
        <w:jc w:val="both"/>
        <w:rPr>
          <w:sz w:val="28"/>
          <w:szCs w:val="28"/>
        </w:rPr>
      </w:pPr>
      <w:r w:rsidRPr="004C78A6">
        <w:rPr>
          <w:rFonts w:eastAsia="Times New Roman"/>
          <w:sz w:val="28"/>
          <w:szCs w:val="28"/>
        </w:rPr>
        <w:t xml:space="preserve">Особливості функціонування вітчизняних підприємств, де інноваційні </w:t>
      </w:r>
      <w:r w:rsidRPr="004C78A6">
        <w:rPr>
          <w:rFonts w:eastAsia="Times New Roman"/>
          <w:sz w:val="28"/>
          <w:szCs w:val="28"/>
        </w:rPr>
        <w:t>процеси проходять шляхом поєднання матеріальних, трудових та фінансових ресурсів, функції всіх суб'єктів управління є тісно пов'язаними, і повинні бути спрямовані швидше на ефективне досягнення кінцевої цілі, ніж на відокремлене виконання окремого завдання</w:t>
      </w:r>
      <w:r w:rsidRPr="004C78A6">
        <w:rPr>
          <w:rFonts w:eastAsia="Times New Roman"/>
          <w:sz w:val="28"/>
          <w:szCs w:val="28"/>
        </w:rPr>
        <w:t xml:space="preserve">. В зв'язку з цим весь механізм управління покликаний об'єднати різні частини організації даного процесу в єдине ціле. Саме </w:t>
      </w:r>
      <w:r>
        <w:rPr>
          <w:rFonts w:eastAsia="Times New Roman"/>
          <w:sz w:val="28"/>
          <w:szCs w:val="28"/>
        </w:rPr>
        <w:t>ст</w:t>
      </w:r>
      <w:r w:rsidRPr="004C78A6">
        <w:rPr>
          <w:rFonts w:eastAsia="Times New Roman"/>
          <w:sz w:val="28"/>
          <w:szCs w:val="28"/>
        </w:rPr>
        <w:t xml:space="preserve">ворення комплексного механізму підготовки виробництва дає змогу </w:t>
      </w:r>
      <w:r w:rsidRPr="004C78A6">
        <w:rPr>
          <w:rFonts w:eastAsia="Times New Roman"/>
          <w:sz w:val="28"/>
          <w:szCs w:val="28"/>
        </w:rPr>
        <w:t>кра</w:t>
      </w:r>
      <w:r>
        <w:rPr>
          <w:rFonts w:eastAsia="Times New Roman"/>
          <w:sz w:val="28"/>
          <w:szCs w:val="28"/>
        </w:rPr>
        <w:t>щ</w:t>
      </w:r>
      <w:r w:rsidRPr="004C78A6">
        <w:rPr>
          <w:rFonts w:eastAsia="Times New Roman"/>
          <w:sz w:val="28"/>
          <w:szCs w:val="28"/>
        </w:rPr>
        <w:t xml:space="preserve">е </w:t>
      </w:r>
      <w:r w:rsidRPr="004C78A6">
        <w:rPr>
          <w:rFonts w:eastAsia="Times New Roman"/>
          <w:sz w:val="28"/>
          <w:szCs w:val="28"/>
        </w:rPr>
        <w:t xml:space="preserve">побачити взаємовплив та ефективність функціонування окремих </w:t>
      </w:r>
      <w:r w:rsidRPr="004C78A6">
        <w:rPr>
          <w:rFonts w:eastAsia="Times New Roman"/>
          <w:sz w:val="28"/>
          <w:szCs w:val="28"/>
        </w:rPr>
        <w:t>його складових, а також більш якісно впливати на їх покращення.</w:t>
      </w:r>
    </w:p>
    <w:p w:rsidR="00000000" w:rsidRPr="004C78A6" w:rsidRDefault="004C78A6" w:rsidP="004C78A6">
      <w:pPr>
        <w:shd w:val="clear" w:color="auto" w:fill="FFFFFF"/>
        <w:spacing w:line="360" w:lineRule="auto"/>
        <w:ind w:right="29" w:firstLine="394"/>
        <w:jc w:val="both"/>
        <w:rPr>
          <w:sz w:val="28"/>
          <w:szCs w:val="28"/>
        </w:rPr>
      </w:pPr>
      <w:r w:rsidRPr="004C78A6">
        <w:rPr>
          <w:rFonts w:eastAsia="Times New Roman"/>
          <w:sz w:val="28"/>
          <w:szCs w:val="28"/>
        </w:rPr>
        <w:t xml:space="preserve">З Іншого боку, підвищення складності організації всього процесу ускладнює </w:t>
      </w:r>
      <w:r>
        <w:rPr>
          <w:rFonts w:eastAsia="Times New Roman"/>
          <w:sz w:val="28"/>
          <w:szCs w:val="28"/>
        </w:rPr>
        <w:t>і</w:t>
      </w:r>
      <w:r w:rsidRPr="004C78A6">
        <w:rPr>
          <w:rFonts w:eastAsia="Times New Roman"/>
          <w:sz w:val="28"/>
          <w:szCs w:val="28"/>
        </w:rPr>
        <w:t xml:space="preserve"> саме управління ним. В данім аспекті досить важливим є Інформаційне забезпечення. Швидке моральне старіння продукції</w:t>
      </w:r>
      <w:r w:rsidRPr="004C78A6">
        <w:rPr>
          <w:rFonts w:eastAsia="Times New Roman"/>
          <w:sz w:val="28"/>
          <w:szCs w:val="28"/>
        </w:rPr>
        <w:t xml:space="preserve"> стимулює підприємства до розробки кількох видів та модифікацій продукції паралельно. Це потребує постійного оновлення га модернізації інформаційного поля, що забезпечує ефективний перебіг всього процесу. Тому якісний рух інформаційних потоків є важливим і</w:t>
      </w:r>
      <w:r w:rsidRPr="004C78A6">
        <w:rPr>
          <w:rFonts w:eastAsia="Times New Roman"/>
          <w:sz w:val="28"/>
          <w:szCs w:val="28"/>
        </w:rPr>
        <w:t>нструментом підви</w:t>
      </w:r>
      <w:r>
        <w:rPr>
          <w:rFonts w:eastAsia="Times New Roman"/>
          <w:sz w:val="28"/>
          <w:szCs w:val="28"/>
        </w:rPr>
        <w:t>щ</w:t>
      </w:r>
      <w:r w:rsidRPr="004C78A6">
        <w:rPr>
          <w:rFonts w:eastAsia="Times New Roman"/>
          <w:sz w:val="28"/>
          <w:szCs w:val="28"/>
        </w:rPr>
        <w:t xml:space="preserve">ення ефективності як самої підготовки виробництва, так і систем управління виробничими процесами, які базуються на основі її здійснення. В </w:t>
      </w:r>
      <w:r w:rsidRPr="004C78A6">
        <w:rPr>
          <w:rFonts w:eastAsia="Times New Roman"/>
          <w:sz w:val="28"/>
          <w:szCs w:val="28"/>
        </w:rPr>
        <w:lastRenderedPageBreak/>
        <w:t xml:space="preserve">даному випадку мається на увазі, як зовнішні (НД1, </w:t>
      </w:r>
      <w:r w:rsidRPr="004C78A6">
        <w:rPr>
          <w:rFonts w:eastAsia="Times New Roman"/>
          <w:sz w:val="28"/>
          <w:szCs w:val="28"/>
        </w:rPr>
        <w:t xml:space="preserve">КБ), </w:t>
      </w:r>
      <w:r w:rsidRPr="004C78A6">
        <w:rPr>
          <w:rFonts w:eastAsia="Times New Roman"/>
          <w:sz w:val="28"/>
          <w:szCs w:val="28"/>
        </w:rPr>
        <w:t xml:space="preserve">так і внутрішні джерела інформації про хід </w:t>
      </w:r>
      <w:r w:rsidRPr="004C78A6">
        <w:rPr>
          <w:rFonts w:eastAsia="Times New Roman"/>
          <w:sz w:val="28"/>
          <w:szCs w:val="28"/>
        </w:rPr>
        <w:t>та стадію виконання підготовчого процесу, а також нормативна інформація, що передбачає забезпечення встановлених показників.</w:t>
      </w:r>
    </w:p>
    <w:p w:rsidR="00000000" w:rsidRPr="004C78A6" w:rsidRDefault="004C78A6" w:rsidP="004C78A6">
      <w:pPr>
        <w:shd w:val="clear" w:color="auto" w:fill="FFFFFF"/>
        <w:spacing w:line="360" w:lineRule="auto"/>
        <w:ind w:left="10" w:firstLine="394"/>
        <w:jc w:val="both"/>
        <w:rPr>
          <w:sz w:val="28"/>
          <w:szCs w:val="28"/>
        </w:rPr>
      </w:pPr>
      <w:r w:rsidRPr="004C78A6">
        <w:rPr>
          <w:rFonts w:eastAsia="Times New Roman"/>
          <w:sz w:val="28"/>
          <w:szCs w:val="28"/>
        </w:rPr>
        <w:t>Результатом продуктивного поєднання функціональних особливостей зовнішніх і внутрішніх інформаційних потокі</w:t>
      </w:r>
      <w:r w:rsidRPr="004C78A6">
        <w:rPr>
          <w:rFonts w:eastAsia="Times New Roman"/>
          <w:sz w:val="28"/>
          <w:szCs w:val="28"/>
        </w:rPr>
        <w:t>в є ефективне здійснення дослідно-конструкторських робіт І упровадження їх результатів у виробництво, для чого необхідне проведення наступних заходів:</w:t>
      </w:r>
    </w:p>
    <w:p w:rsidR="00000000" w:rsidRPr="004C78A6" w:rsidRDefault="004C78A6" w:rsidP="004C78A6">
      <w:pPr>
        <w:shd w:val="clear" w:color="auto" w:fill="FFFFFF"/>
        <w:tabs>
          <w:tab w:val="left" w:pos="595"/>
        </w:tabs>
        <w:spacing w:line="360" w:lineRule="auto"/>
        <w:ind w:left="413"/>
        <w:rPr>
          <w:sz w:val="28"/>
          <w:szCs w:val="28"/>
        </w:rPr>
      </w:pPr>
      <w:r w:rsidRPr="004C78A6">
        <w:rPr>
          <w:spacing w:val="-9"/>
          <w:sz w:val="28"/>
          <w:szCs w:val="28"/>
        </w:rPr>
        <w:t>1)</w:t>
      </w:r>
      <w:r w:rsidRPr="004C78A6">
        <w:rPr>
          <w:sz w:val="28"/>
          <w:szCs w:val="28"/>
        </w:rPr>
        <w:tab/>
      </w:r>
      <w:r w:rsidRPr="004C78A6">
        <w:rPr>
          <w:rFonts w:eastAsia="Times New Roman"/>
          <w:sz w:val="28"/>
          <w:szCs w:val="28"/>
        </w:rPr>
        <w:t>з позиції підприємств:</w:t>
      </w:r>
    </w:p>
    <w:p w:rsidR="00000000" w:rsidRPr="004C78A6" w:rsidRDefault="004C78A6" w:rsidP="004C78A6">
      <w:pPr>
        <w:shd w:val="clear" w:color="auto" w:fill="FFFFFF"/>
        <w:tabs>
          <w:tab w:val="left" w:pos="538"/>
        </w:tabs>
        <w:spacing w:line="360" w:lineRule="auto"/>
        <w:ind w:left="10" w:firstLine="394"/>
        <w:jc w:val="both"/>
        <w:rPr>
          <w:sz w:val="28"/>
          <w:szCs w:val="28"/>
        </w:rPr>
      </w:pPr>
      <w:r w:rsidRPr="004C78A6">
        <w:rPr>
          <w:sz w:val="28"/>
          <w:szCs w:val="28"/>
        </w:rPr>
        <w:t>-</w:t>
      </w:r>
      <w:r w:rsidRPr="004C78A6">
        <w:rPr>
          <w:sz w:val="28"/>
          <w:szCs w:val="28"/>
        </w:rPr>
        <w:tab/>
      </w:r>
      <w:r w:rsidRPr="004C78A6">
        <w:rPr>
          <w:rFonts w:eastAsia="Times New Roman"/>
          <w:sz w:val="28"/>
          <w:szCs w:val="28"/>
        </w:rPr>
        <w:t>удосконалення організаційного І мотиваційного підходів до забезпечення розвит</w:t>
      </w:r>
      <w:r w:rsidRPr="004C78A6">
        <w:rPr>
          <w:rFonts w:eastAsia="Times New Roman"/>
          <w:sz w:val="28"/>
          <w:szCs w:val="28"/>
        </w:rPr>
        <w:t>ку та</w:t>
      </w:r>
      <w:r w:rsidRPr="004C78A6">
        <w:rPr>
          <w:rFonts w:eastAsia="Times New Roman"/>
          <w:sz w:val="28"/>
          <w:szCs w:val="28"/>
        </w:rPr>
        <w:br/>
        <w:t>розширення механізму оцінювання інтелектуального потенціалу підприємства;</w:t>
      </w:r>
    </w:p>
    <w:p w:rsidR="00000000" w:rsidRPr="004C78A6" w:rsidRDefault="004C78A6" w:rsidP="004C78A6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360" w:lineRule="auto"/>
        <w:ind w:left="10" w:right="10" w:firstLine="394"/>
        <w:jc w:val="both"/>
        <w:rPr>
          <w:sz w:val="28"/>
          <w:szCs w:val="28"/>
        </w:rPr>
      </w:pPr>
      <w:r w:rsidRPr="004C78A6">
        <w:rPr>
          <w:rFonts w:eastAsia="Times New Roman"/>
          <w:sz w:val="28"/>
          <w:szCs w:val="28"/>
        </w:rPr>
        <w:t>налагодження більш чіткої співпраці підприємств з установами вузівського. академічного і галузевою секторів;</w:t>
      </w:r>
    </w:p>
    <w:p w:rsidR="00000000" w:rsidRPr="004C78A6" w:rsidRDefault="004C78A6" w:rsidP="004C78A6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360" w:lineRule="auto"/>
        <w:ind w:left="10" w:right="10" w:firstLine="394"/>
        <w:jc w:val="both"/>
        <w:rPr>
          <w:sz w:val="28"/>
          <w:szCs w:val="28"/>
        </w:rPr>
      </w:pPr>
      <w:r w:rsidRPr="004C78A6">
        <w:rPr>
          <w:rFonts w:eastAsia="Times New Roman"/>
          <w:sz w:val="28"/>
          <w:szCs w:val="28"/>
        </w:rPr>
        <w:t>удосконалення механізм; оцінювання вибору напрямків і аналі</w:t>
      </w:r>
      <w:r w:rsidRPr="004C78A6">
        <w:rPr>
          <w:rFonts w:eastAsia="Times New Roman"/>
          <w:sz w:val="28"/>
          <w:szCs w:val="28"/>
        </w:rPr>
        <w:t>зу перспектив науковим досліджень (проводити дослідження для отримання результату, а не для проведення досліджень):</w:t>
      </w:r>
    </w:p>
    <w:p w:rsidR="00000000" w:rsidRPr="004C78A6" w:rsidRDefault="004C78A6" w:rsidP="004C78A6">
      <w:pPr>
        <w:shd w:val="clear" w:color="auto" w:fill="FFFFFF"/>
        <w:tabs>
          <w:tab w:val="left" w:pos="595"/>
        </w:tabs>
        <w:spacing w:line="360" w:lineRule="auto"/>
        <w:ind w:left="413"/>
        <w:rPr>
          <w:sz w:val="28"/>
          <w:szCs w:val="28"/>
        </w:rPr>
      </w:pPr>
      <w:r w:rsidRPr="004C78A6">
        <w:rPr>
          <w:spacing w:val="-5"/>
          <w:sz w:val="28"/>
          <w:szCs w:val="28"/>
        </w:rPr>
        <w:t>2)</w:t>
      </w:r>
      <w:r w:rsidRPr="004C78A6">
        <w:rPr>
          <w:sz w:val="28"/>
          <w:szCs w:val="28"/>
        </w:rPr>
        <w:tab/>
      </w:r>
      <w:r w:rsidRPr="004C78A6">
        <w:rPr>
          <w:rFonts w:eastAsia="Times New Roman"/>
          <w:sz w:val="28"/>
          <w:szCs w:val="28"/>
        </w:rPr>
        <w:t>з позиції держави:</w:t>
      </w:r>
    </w:p>
    <w:p w:rsidR="00000000" w:rsidRPr="004C78A6" w:rsidRDefault="004C78A6" w:rsidP="004C78A6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360" w:lineRule="auto"/>
        <w:ind w:firstLine="394"/>
        <w:jc w:val="both"/>
        <w:rPr>
          <w:sz w:val="28"/>
          <w:szCs w:val="28"/>
        </w:rPr>
      </w:pPr>
      <w:r w:rsidRPr="004C78A6">
        <w:rPr>
          <w:rFonts w:eastAsia="Times New Roman"/>
          <w:sz w:val="28"/>
          <w:szCs w:val="28"/>
        </w:rPr>
        <w:t>якісне використання механізму впливу на вітчизняну сферу виробництва в напрямку реального (а не паперово</w:t>
      </w:r>
      <w:r>
        <w:rPr>
          <w:rFonts w:eastAsia="Times New Roman"/>
          <w:sz w:val="28"/>
          <w:szCs w:val="28"/>
        </w:rPr>
        <w:t>го</w:t>
      </w:r>
      <w:r w:rsidRPr="004C78A6">
        <w:rPr>
          <w:rFonts w:eastAsia="Times New Roman"/>
          <w:sz w:val="28"/>
          <w:szCs w:val="28"/>
        </w:rPr>
        <w:t>) викорис</w:t>
      </w:r>
      <w:r w:rsidRPr="004C78A6">
        <w:rPr>
          <w:rFonts w:eastAsia="Times New Roman"/>
          <w:sz w:val="28"/>
          <w:szCs w:val="28"/>
        </w:rPr>
        <w:t>тання нових ідей та їхніх розробок для оптимізації процесів створення нової продукції;</w:t>
      </w:r>
    </w:p>
    <w:p w:rsidR="00000000" w:rsidRPr="004C78A6" w:rsidRDefault="004C78A6" w:rsidP="004C78A6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360" w:lineRule="auto"/>
        <w:ind w:right="10" w:firstLine="394"/>
        <w:jc w:val="both"/>
        <w:rPr>
          <w:sz w:val="28"/>
          <w:szCs w:val="28"/>
        </w:rPr>
      </w:pPr>
      <w:r w:rsidRPr="004C78A6">
        <w:rPr>
          <w:rFonts w:eastAsia="Times New Roman"/>
          <w:sz w:val="28"/>
          <w:szCs w:val="28"/>
        </w:rPr>
        <w:t>повна заміна механізму стимулювання і впливу на підприємства з метою якомога ширшого залучення молодих та креативних кадрів з боку перспективних студентів старших ку</w:t>
      </w:r>
      <w:r w:rsidRPr="004C78A6">
        <w:rPr>
          <w:rFonts w:eastAsia="Times New Roman"/>
          <w:sz w:val="28"/>
          <w:szCs w:val="28"/>
        </w:rPr>
        <w:t>рсів, аспірантів, науковців зі званнями тощо для підвищення темнів зростання інтелектуального і, як результат, організаційного, технологічного й економічног</w:t>
      </w:r>
      <w:bookmarkStart w:id="0" w:name="_GoBack"/>
      <w:bookmarkEnd w:id="0"/>
      <w:r w:rsidRPr="004C78A6">
        <w:rPr>
          <w:rFonts w:eastAsia="Times New Roman"/>
          <w:sz w:val="28"/>
          <w:szCs w:val="28"/>
        </w:rPr>
        <w:t>о рівнів підприємств;</w:t>
      </w:r>
    </w:p>
    <w:p w:rsidR="004C78A6" w:rsidRPr="004C78A6" w:rsidRDefault="004C78A6" w:rsidP="004C78A6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360" w:lineRule="auto"/>
        <w:ind w:right="19" w:firstLine="394"/>
        <w:jc w:val="both"/>
        <w:rPr>
          <w:sz w:val="28"/>
          <w:szCs w:val="28"/>
        </w:rPr>
      </w:pPr>
      <w:r w:rsidRPr="004C78A6">
        <w:rPr>
          <w:rFonts w:eastAsia="Times New Roman"/>
          <w:sz w:val="28"/>
          <w:szCs w:val="28"/>
        </w:rPr>
        <w:t>збільшення</w:t>
      </w:r>
      <w:r>
        <w:rPr>
          <w:rFonts w:eastAsia="Times New Roman"/>
          <w:sz w:val="28"/>
          <w:szCs w:val="28"/>
        </w:rPr>
        <w:t xml:space="preserve"> обсягів фінансування розвитку </w:t>
      </w:r>
      <w:r w:rsidRPr="004C78A6">
        <w:rPr>
          <w:rFonts w:eastAsia="Times New Roman"/>
          <w:sz w:val="28"/>
          <w:szCs w:val="28"/>
        </w:rPr>
        <w:t xml:space="preserve">"банків </w:t>
      </w:r>
      <w:proofErr w:type="spellStart"/>
      <w:r w:rsidRPr="004C78A6">
        <w:rPr>
          <w:rFonts w:eastAsia="Times New Roman"/>
          <w:sz w:val="28"/>
          <w:szCs w:val="28"/>
        </w:rPr>
        <w:t>ідей''</w:t>
      </w:r>
      <w:proofErr w:type="spellEnd"/>
      <w:r w:rsidRPr="004C78A6">
        <w:rPr>
          <w:rFonts w:eastAsia="Times New Roman"/>
          <w:sz w:val="28"/>
          <w:szCs w:val="28"/>
        </w:rPr>
        <w:t xml:space="preserve"> (технопарків, тех</w:t>
      </w:r>
      <w:r w:rsidRPr="004C78A6">
        <w:rPr>
          <w:rFonts w:eastAsia="Times New Roman"/>
          <w:sz w:val="28"/>
          <w:szCs w:val="28"/>
        </w:rPr>
        <w:t xml:space="preserve">нополісів, венчурних фірм) І перетворення їх </w:t>
      </w:r>
      <w:r w:rsidRPr="004C78A6">
        <w:rPr>
          <w:rFonts w:eastAsia="Times New Roman"/>
          <w:i/>
          <w:iCs/>
          <w:smallCaps/>
          <w:sz w:val="28"/>
          <w:szCs w:val="28"/>
        </w:rPr>
        <w:t xml:space="preserve">і </w:t>
      </w:r>
      <w:r w:rsidRPr="004C78A6">
        <w:rPr>
          <w:rFonts w:eastAsia="Times New Roman"/>
          <w:sz w:val="28"/>
          <w:szCs w:val="28"/>
        </w:rPr>
        <w:t>функціональних одиниць на ефективний І реально працюючий інструмент розвитку підприємств.</w:t>
      </w:r>
    </w:p>
    <w:sectPr w:rsidR="004C78A6" w:rsidRPr="004C78A6" w:rsidSect="004C78A6">
      <w:pgSz w:w="11909" w:h="16834"/>
      <w:pgMar w:top="1134" w:right="851" w:bottom="1134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EEEF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A6"/>
    <w:rsid w:val="004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3475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2016-12-04T17:27:00Z</dcterms:created>
  <dcterms:modified xsi:type="dcterms:W3CDTF">2016-12-04T17:31:00Z</dcterms:modified>
</cp:coreProperties>
</file>