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01" w:rsidRPr="00AE525F" w:rsidRDefault="00A53901" w:rsidP="00A53901">
      <w:pPr>
        <w:autoSpaceDE w:val="0"/>
        <w:autoSpaceDN w:val="0"/>
        <w:adjustRightInd w:val="0"/>
        <w:spacing w:after="0" w:line="360" w:lineRule="auto"/>
        <w:rPr>
          <w:rFonts w:ascii="Times New Roman" w:hAnsi="Times New Roman" w:cs="Times New Roman"/>
          <w:b/>
          <w:bCs/>
          <w:sz w:val="28"/>
          <w:szCs w:val="28"/>
          <w:lang w:val="uk-UA"/>
        </w:rPr>
      </w:pPr>
      <w:r w:rsidRPr="00AE525F">
        <w:rPr>
          <w:rFonts w:ascii="Times New Roman" w:hAnsi="Times New Roman" w:cs="Times New Roman"/>
          <w:b/>
          <w:bCs/>
          <w:sz w:val="28"/>
          <w:szCs w:val="28"/>
          <w:lang w:val="uk-UA"/>
        </w:rPr>
        <w:t>УДК 336.22</w:t>
      </w:r>
    </w:p>
    <w:p w:rsidR="00AE525F" w:rsidRPr="00AE525F" w:rsidRDefault="00AE525F" w:rsidP="00A53901">
      <w:pPr>
        <w:autoSpaceDE w:val="0"/>
        <w:autoSpaceDN w:val="0"/>
        <w:adjustRightInd w:val="0"/>
        <w:spacing w:after="0" w:line="360" w:lineRule="auto"/>
        <w:rPr>
          <w:rFonts w:ascii="Times New Roman" w:hAnsi="Times New Roman" w:cs="Times New Roman"/>
          <w:bCs/>
          <w:sz w:val="28"/>
          <w:szCs w:val="28"/>
          <w:lang w:val="uk-UA"/>
        </w:rPr>
      </w:pPr>
      <w:r w:rsidRPr="00155220">
        <w:rPr>
          <w:rFonts w:ascii="Times New Roman" w:hAnsi="Times New Roman"/>
          <w:sz w:val="24"/>
          <w:szCs w:val="24"/>
          <w:lang w:val="uk-UA"/>
        </w:rPr>
        <w:t>JEL Classification</w:t>
      </w:r>
      <w:r w:rsidR="00155220">
        <w:rPr>
          <w:rFonts w:ascii="Times New Roman" w:hAnsi="Times New Roman"/>
          <w:sz w:val="24"/>
          <w:szCs w:val="24"/>
          <w:lang w:val="en-US"/>
        </w:rPr>
        <w:t xml:space="preserve"> H20</w:t>
      </w:r>
      <w:r w:rsidRPr="00AE525F">
        <w:rPr>
          <w:rFonts w:ascii="Times New Roman" w:hAnsi="Times New Roman"/>
          <w:sz w:val="18"/>
          <w:szCs w:val="18"/>
          <w:lang w:val="uk-UA"/>
        </w:rPr>
        <w:t xml:space="preserve"> </w:t>
      </w:r>
    </w:p>
    <w:p w:rsidR="00C21BEB" w:rsidRPr="00AE525F" w:rsidRDefault="00C21BEB" w:rsidP="00C21BEB">
      <w:pPr>
        <w:autoSpaceDE w:val="0"/>
        <w:autoSpaceDN w:val="0"/>
        <w:adjustRightInd w:val="0"/>
        <w:spacing w:after="0" w:line="360" w:lineRule="auto"/>
        <w:ind w:firstLine="708"/>
        <w:jc w:val="right"/>
        <w:rPr>
          <w:rFonts w:ascii="Times New Roman" w:hAnsi="Times New Roman" w:cs="Times New Roman"/>
          <w:b/>
          <w:bCs/>
          <w:sz w:val="28"/>
          <w:szCs w:val="28"/>
          <w:lang w:val="uk-UA"/>
        </w:rPr>
      </w:pPr>
      <w:r w:rsidRPr="00AE525F">
        <w:rPr>
          <w:rFonts w:ascii="Times New Roman" w:hAnsi="Times New Roman" w:cs="Times New Roman"/>
          <w:b/>
          <w:bCs/>
          <w:sz w:val="28"/>
          <w:szCs w:val="28"/>
          <w:lang w:val="uk-UA"/>
        </w:rPr>
        <w:t>Сидор</w:t>
      </w:r>
      <w:r w:rsidR="00B26132" w:rsidRPr="00AE525F">
        <w:rPr>
          <w:rFonts w:ascii="Times New Roman" w:hAnsi="Times New Roman" w:cs="Times New Roman"/>
          <w:b/>
          <w:bCs/>
          <w:sz w:val="28"/>
          <w:szCs w:val="28"/>
          <w:lang w:val="uk-UA"/>
        </w:rPr>
        <w:t xml:space="preserve"> Ірина</w:t>
      </w:r>
      <w:r w:rsidR="00AE525F" w:rsidRPr="00AE525F">
        <w:rPr>
          <w:rFonts w:ascii="Times New Roman" w:hAnsi="Times New Roman" w:cs="Times New Roman"/>
          <w:b/>
          <w:bCs/>
          <w:sz w:val="28"/>
          <w:szCs w:val="28"/>
          <w:lang w:val="uk-UA"/>
        </w:rPr>
        <w:t xml:space="preserve"> Петрівна,</w:t>
      </w:r>
    </w:p>
    <w:p w:rsidR="00C21BEB" w:rsidRPr="00AE525F" w:rsidRDefault="00C21BEB" w:rsidP="00C21BEB">
      <w:pPr>
        <w:autoSpaceDE w:val="0"/>
        <w:autoSpaceDN w:val="0"/>
        <w:adjustRightInd w:val="0"/>
        <w:spacing w:after="0" w:line="360" w:lineRule="auto"/>
        <w:ind w:firstLine="708"/>
        <w:jc w:val="right"/>
        <w:rPr>
          <w:rFonts w:ascii="Times New Roman" w:hAnsi="Times New Roman" w:cs="Times New Roman"/>
          <w:b/>
          <w:bCs/>
          <w:i/>
          <w:sz w:val="28"/>
          <w:szCs w:val="28"/>
          <w:lang w:val="uk-UA"/>
        </w:rPr>
      </w:pPr>
      <w:r w:rsidRPr="00AE525F">
        <w:rPr>
          <w:rFonts w:ascii="Times New Roman" w:hAnsi="Times New Roman" w:cs="Times New Roman"/>
          <w:b/>
          <w:bCs/>
          <w:i/>
          <w:sz w:val="28"/>
          <w:szCs w:val="28"/>
          <w:lang w:val="uk-UA"/>
        </w:rPr>
        <w:t>к.е.н., доцент</w:t>
      </w:r>
      <w:r w:rsidR="009D4BFB" w:rsidRPr="00AE525F">
        <w:rPr>
          <w:rFonts w:ascii="Times New Roman" w:hAnsi="Times New Roman" w:cs="Times New Roman"/>
          <w:b/>
          <w:bCs/>
          <w:i/>
          <w:sz w:val="28"/>
          <w:szCs w:val="28"/>
          <w:lang w:val="uk-UA"/>
        </w:rPr>
        <w:t>, доцент</w:t>
      </w:r>
      <w:r w:rsidRPr="00AE525F">
        <w:rPr>
          <w:rFonts w:ascii="Times New Roman" w:hAnsi="Times New Roman" w:cs="Times New Roman"/>
          <w:b/>
          <w:bCs/>
          <w:i/>
          <w:sz w:val="28"/>
          <w:szCs w:val="28"/>
          <w:lang w:val="uk-UA"/>
        </w:rPr>
        <w:t xml:space="preserve"> кафедри фінансів імені С. І. Юрія</w:t>
      </w:r>
    </w:p>
    <w:p w:rsidR="00C21BEB" w:rsidRPr="00AE525F" w:rsidRDefault="00C21BEB" w:rsidP="00C21BEB">
      <w:pPr>
        <w:autoSpaceDE w:val="0"/>
        <w:autoSpaceDN w:val="0"/>
        <w:adjustRightInd w:val="0"/>
        <w:spacing w:after="0" w:line="360" w:lineRule="auto"/>
        <w:ind w:firstLine="708"/>
        <w:jc w:val="right"/>
        <w:rPr>
          <w:rFonts w:ascii="Times New Roman" w:hAnsi="Times New Roman" w:cs="Times New Roman"/>
          <w:b/>
          <w:bCs/>
          <w:i/>
          <w:sz w:val="28"/>
          <w:szCs w:val="28"/>
          <w:lang w:val="uk-UA"/>
        </w:rPr>
      </w:pPr>
      <w:r w:rsidRPr="00AE525F">
        <w:rPr>
          <w:rFonts w:ascii="Times New Roman" w:hAnsi="Times New Roman" w:cs="Times New Roman"/>
          <w:b/>
          <w:bCs/>
          <w:i/>
          <w:sz w:val="28"/>
          <w:szCs w:val="28"/>
          <w:lang w:val="uk-UA"/>
        </w:rPr>
        <w:t>Тернопільський національний економічний університет</w:t>
      </w:r>
    </w:p>
    <w:p w:rsidR="009D4BFB" w:rsidRPr="00AE525F" w:rsidRDefault="009D4BFB" w:rsidP="00C21BEB">
      <w:pPr>
        <w:autoSpaceDE w:val="0"/>
        <w:autoSpaceDN w:val="0"/>
        <w:adjustRightInd w:val="0"/>
        <w:spacing w:after="0" w:line="360" w:lineRule="auto"/>
        <w:ind w:firstLine="708"/>
        <w:jc w:val="right"/>
        <w:rPr>
          <w:rFonts w:ascii="Times New Roman" w:hAnsi="Times New Roman" w:cs="Times New Roman"/>
          <w:b/>
          <w:bCs/>
          <w:sz w:val="28"/>
          <w:szCs w:val="28"/>
          <w:lang w:val="uk-UA"/>
        </w:rPr>
      </w:pPr>
      <w:r w:rsidRPr="00AE525F">
        <w:rPr>
          <w:rFonts w:ascii="Times New Roman" w:hAnsi="Times New Roman" w:cs="Times New Roman"/>
          <w:b/>
          <w:bCs/>
          <w:sz w:val="28"/>
          <w:szCs w:val="28"/>
          <w:lang w:val="uk-UA"/>
        </w:rPr>
        <w:t>Корнацька</w:t>
      </w:r>
      <w:r w:rsidR="00B26132" w:rsidRPr="00AE525F">
        <w:rPr>
          <w:rFonts w:ascii="Times New Roman" w:hAnsi="Times New Roman" w:cs="Times New Roman"/>
          <w:b/>
          <w:bCs/>
          <w:sz w:val="28"/>
          <w:szCs w:val="28"/>
          <w:lang w:val="uk-UA"/>
        </w:rPr>
        <w:t xml:space="preserve"> Роксолана</w:t>
      </w:r>
      <w:r w:rsidR="00AE525F" w:rsidRPr="00AE525F">
        <w:rPr>
          <w:rFonts w:ascii="Times New Roman" w:hAnsi="Times New Roman" w:cs="Times New Roman"/>
          <w:b/>
          <w:bCs/>
          <w:sz w:val="28"/>
          <w:szCs w:val="28"/>
          <w:lang w:val="uk-UA"/>
        </w:rPr>
        <w:t xml:space="preserve"> Михайлівна,</w:t>
      </w:r>
    </w:p>
    <w:p w:rsidR="00B26132" w:rsidRPr="00AE525F" w:rsidRDefault="009D4BFB" w:rsidP="009D4BFB">
      <w:pPr>
        <w:spacing w:after="0" w:line="360" w:lineRule="auto"/>
        <w:jc w:val="right"/>
        <w:rPr>
          <w:rFonts w:ascii="Times New Roman" w:eastAsia="Times New Roman" w:hAnsi="Times New Roman" w:cs="Times New Roman"/>
          <w:b/>
          <w:i/>
          <w:sz w:val="28"/>
          <w:szCs w:val="28"/>
          <w:lang w:val="uk-UA"/>
        </w:rPr>
      </w:pPr>
      <w:r w:rsidRPr="00AE525F">
        <w:rPr>
          <w:rFonts w:ascii="Times New Roman" w:eastAsia="Times New Roman" w:hAnsi="Times New Roman" w:cs="Times New Roman"/>
          <w:b/>
          <w:i/>
          <w:sz w:val="28"/>
          <w:szCs w:val="28"/>
          <w:lang w:val="uk-UA"/>
        </w:rPr>
        <w:t>к.е.н., доцент, доцент кафедри фінансів</w:t>
      </w:r>
    </w:p>
    <w:p w:rsidR="009D4BFB" w:rsidRPr="00AE525F" w:rsidRDefault="009D4BFB" w:rsidP="009D4BFB">
      <w:pPr>
        <w:spacing w:after="0" w:line="360" w:lineRule="auto"/>
        <w:jc w:val="right"/>
        <w:rPr>
          <w:rFonts w:ascii="Times New Roman" w:eastAsia="Times New Roman" w:hAnsi="Times New Roman" w:cs="Times New Roman"/>
          <w:b/>
          <w:i/>
          <w:sz w:val="28"/>
          <w:szCs w:val="28"/>
          <w:lang w:val="uk-UA"/>
        </w:rPr>
      </w:pPr>
      <w:r w:rsidRPr="00AE525F">
        <w:rPr>
          <w:rFonts w:ascii="Times New Roman" w:eastAsia="Times New Roman" w:hAnsi="Times New Roman" w:cs="Times New Roman"/>
          <w:b/>
          <w:i/>
          <w:sz w:val="28"/>
          <w:szCs w:val="28"/>
          <w:lang w:val="uk-UA"/>
        </w:rPr>
        <w:t xml:space="preserve"> ДВНЗ «Київський національний економічний університет імені Вадима Гетьмана»</w:t>
      </w:r>
    </w:p>
    <w:p w:rsidR="005364F1" w:rsidRPr="00AE525F" w:rsidRDefault="005364F1" w:rsidP="009D4BFB">
      <w:pPr>
        <w:autoSpaceDE w:val="0"/>
        <w:autoSpaceDN w:val="0"/>
        <w:adjustRightInd w:val="0"/>
        <w:spacing w:after="0" w:line="360" w:lineRule="auto"/>
        <w:rPr>
          <w:rFonts w:ascii="Times New Roman" w:hAnsi="Times New Roman" w:cs="Times New Roman"/>
          <w:b/>
          <w:bCs/>
          <w:sz w:val="28"/>
          <w:szCs w:val="28"/>
          <w:lang w:val="uk-UA"/>
        </w:rPr>
      </w:pPr>
    </w:p>
    <w:p w:rsidR="00C21BEB" w:rsidRPr="00AE525F" w:rsidRDefault="00C21BEB" w:rsidP="00C21BEB">
      <w:pPr>
        <w:autoSpaceDE w:val="0"/>
        <w:autoSpaceDN w:val="0"/>
        <w:adjustRightInd w:val="0"/>
        <w:spacing w:after="0" w:line="360" w:lineRule="auto"/>
        <w:ind w:firstLine="708"/>
        <w:jc w:val="center"/>
        <w:rPr>
          <w:rFonts w:ascii="Times New Roman" w:hAnsi="Times New Roman" w:cs="Times New Roman"/>
          <w:b/>
          <w:bCs/>
          <w:sz w:val="28"/>
          <w:szCs w:val="28"/>
          <w:lang w:val="uk-UA"/>
        </w:rPr>
      </w:pPr>
      <w:r w:rsidRPr="00AE525F">
        <w:rPr>
          <w:rFonts w:ascii="Times New Roman" w:hAnsi="Times New Roman" w:cs="Times New Roman"/>
          <w:b/>
          <w:bCs/>
          <w:sz w:val="28"/>
          <w:szCs w:val="28"/>
          <w:lang w:val="uk-UA"/>
        </w:rPr>
        <w:t>ЗАГАЛЬНОДЕРЖАВНІ ПОДАТКИ І ЗБОРИ В КОНТЕКСТІ НАПОВНЕННЯ МІСЦЕВИХ БЮДЖЕТІВ: РЕАЛІЇ ВІТЧИЗНЯНОЇ ПРАКТИКИ</w:t>
      </w:r>
    </w:p>
    <w:p w:rsidR="00AE7E8C" w:rsidRPr="00AE525F" w:rsidRDefault="00AE7E8C" w:rsidP="00FD0480">
      <w:pPr>
        <w:autoSpaceDE w:val="0"/>
        <w:autoSpaceDN w:val="0"/>
        <w:adjustRightInd w:val="0"/>
        <w:spacing w:after="0" w:line="360" w:lineRule="auto"/>
        <w:ind w:firstLine="705"/>
        <w:jc w:val="both"/>
        <w:rPr>
          <w:rFonts w:ascii="Times New Roman" w:hAnsi="Times New Roman" w:cs="Times New Roman"/>
          <w:sz w:val="28"/>
          <w:szCs w:val="28"/>
          <w:lang w:val="uk-UA"/>
        </w:rPr>
      </w:pPr>
    </w:p>
    <w:p w:rsidR="00FD0480" w:rsidRPr="00AE525F" w:rsidRDefault="00A53901" w:rsidP="00FD0480">
      <w:pPr>
        <w:autoSpaceDE w:val="0"/>
        <w:autoSpaceDN w:val="0"/>
        <w:adjustRightInd w:val="0"/>
        <w:spacing w:after="0" w:line="360" w:lineRule="auto"/>
        <w:ind w:firstLine="705"/>
        <w:jc w:val="both"/>
        <w:rPr>
          <w:rFonts w:ascii="Times New Roman" w:eastAsia="TimesNewRomanPSMT" w:hAnsi="Times New Roman" w:cs="Times New Roman"/>
          <w:sz w:val="28"/>
          <w:szCs w:val="28"/>
          <w:lang w:val="uk-UA"/>
        </w:rPr>
      </w:pPr>
      <w:r w:rsidRPr="00AE525F">
        <w:rPr>
          <w:rFonts w:ascii="Times New Roman" w:hAnsi="Times New Roman" w:cs="Times New Roman"/>
          <w:b/>
          <w:bCs/>
          <w:i/>
          <w:sz w:val="28"/>
          <w:szCs w:val="28"/>
          <w:u w:val="single"/>
          <w:lang w:val="uk-UA"/>
        </w:rPr>
        <w:t>Постановка проблеми</w:t>
      </w:r>
      <w:r w:rsidRPr="00AE525F">
        <w:rPr>
          <w:rFonts w:ascii="Times New Roman" w:hAnsi="Times New Roman" w:cs="Times New Roman"/>
          <w:b/>
          <w:bCs/>
          <w:sz w:val="28"/>
          <w:szCs w:val="28"/>
          <w:lang w:val="uk-UA"/>
        </w:rPr>
        <w:t>.</w:t>
      </w:r>
      <w:r w:rsidRPr="00AE525F">
        <w:rPr>
          <w:sz w:val="28"/>
          <w:szCs w:val="28"/>
          <w:lang w:val="uk-UA"/>
        </w:rPr>
        <w:t xml:space="preserve"> </w:t>
      </w:r>
      <w:r w:rsidR="00FD0480" w:rsidRPr="00AE525F">
        <w:rPr>
          <w:rFonts w:ascii="Times New Roman" w:hAnsi="Times New Roman" w:cs="Times New Roman"/>
          <w:sz w:val="28"/>
          <w:szCs w:val="28"/>
          <w:lang w:val="uk-UA"/>
        </w:rPr>
        <w:t>Питання формування доходів місцевих бюджетів і виявлення резервів їх збільшення набувають особливої актуальності в умовах ринкової трансформації української економіки. Незважаючи на постійні зміни та нововведення до Бюджетного та Податкового кодексів стосовно децентралізації фінансових ресурсів, система акумулювання надходжень до місцевих бюджетів продовжує характеризуватися низьким рівнем частки власних доходів. У зв’язку з цим реальні фінансові можливості місцевих органів влади значно обмежені, що своєю чергою є негативним фактором демократичних перетворень в Україні. Натомість у розвинутих країнах світу територіальні громади, спираючись на власні фінансові ресурси, виступають стабілізатором соціально-політичної та фінансово-економічної ситуації в даній адміністративно-територіальній одиниці.</w:t>
      </w:r>
      <w:r w:rsidR="00FD0480" w:rsidRPr="00AE525F">
        <w:rPr>
          <w:sz w:val="28"/>
          <w:szCs w:val="28"/>
          <w:lang w:val="uk-UA"/>
        </w:rPr>
        <w:t xml:space="preserve"> </w:t>
      </w:r>
    </w:p>
    <w:p w:rsidR="00BB2431" w:rsidRPr="00AE525F" w:rsidRDefault="00BB2431" w:rsidP="00FD0480">
      <w:pPr>
        <w:autoSpaceDE w:val="0"/>
        <w:autoSpaceDN w:val="0"/>
        <w:adjustRightInd w:val="0"/>
        <w:spacing w:after="0" w:line="360" w:lineRule="auto"/>
        <w:ind w:firstLine="705"/>
        <w:jc w:val="both"/>
        <w:rPr>
          <w:rFonts w:ascii="Times New Roman" w:hAnsi="Times New Roman" w:cs="Times New Roman"/>
          <w:sz w:val="28"/>
          <w:szCs w:val="28"/>
          <w:lang w:val="uk-UA"/>
        </w:rPr>
      </w:pPr>
      <w:r w:rsidRPr="00AE525F">
        <w:rPr>
          <w:rFonts w:ascii="Times New Roman" w:eastAsia="TimesNewRomanPSMT" w:hAnsi="Times New Roman" w:cs="Times New Roman"/>
          <w:sz w:val="28"/>
          <w:szCs w:val="28"/>
          <w:lang w:val="uk-UA"/>
        </w:rPr>
        <w:t xml:space="preserve">Дохідна частина місцевих бюджетів </w:t>
      </w:r>
      <w:r w:rsidR="00FD0480" w:rsidRPr="00AE525F">
        <w:rPr>
          <w:rFonts w:ascii="Times New Roman" w:eastAsia="TimesNewRomanPSMT" w:hAnsi="Times New Roman" w:cs="Times New Roman"/>
          <w:sz w:val="28"/>
          <w:szCs w:val="28"/>
          <w:lang w:val="uk-UA"/>
        </w:rPr>
        <w:t xml:space="preserve">в Україні </w:t>
      </w:r>
      <w:r w:rsidRPr="00AE525F">
        <w:rPr>
          <w:rFonts w:ascii="Times New Roman" w:eastAsia="TimesNewRomanPSMT" w:hAnsi="Times New Roman" w:cs="Times New Roman"/>
          <w:sz w:val="28"/>
          <w:szCs w:val="28"/>
          <w:lang w:val="uk-UA"/>
        </w:rPr>
        <w:t>формується з</w:t>
      </w:r>
      <w:r w:rsidR="00FD0480" w:rsidRPr="00AE525F">
        <w:rPr>
          <w:rFonts w:ascii="Times New Roman" w:eastAsia="TimesNewRomanPSMT" w:hAnsi="Times New Roman" w:cs="Times New Roman"/>
          <w:sz w:val="28"/>
          <w:szCs w:val="28"/>
          <w:lang w:val="uk-UA"/>
        </w:rPr>
        <w:t>а рахунок</w:t>
      </w:r>
      <w:r w:rsidRPr="00AE525F">
        <w:rPr>
          <w:rFonts w:ascii="Times New Roman" w:eastAsia="TimesNewRomanPSMT" w:hAnsi="Times New Roman" w:cs="Times New Roman"/>
          <w:sz w:val="28"/>
          <w:szCs w:val="28"/>
          <w:lang w:val="uk-UA"/>
        </w:rPr>
        <w:t xml:space="preserve"> трьох джерел: переданих загальнодержавних доходів, місцевих податків і зборів, міжбюджетних трансфертів.</w:t>
      </w:r>
    </w:p>
    <w:p w:rsidR="004265B8" w:rsidRPr="00AE525F" w:rsidRDefault="00BB2431" w:rsidP="00BB2431">
      <w:pPr>
        <w:autoSpaceDE w:val="0"/>
        <w:autoSpaceDN w:val="0"/>
        <w:adjustRightInd w:val="0"/>
        <w:spacing w:after="0" w:line="360" w:lineRule="auto"/>
        <w:ind w:firstLine="708"/>
        <w:jc w:val="both"/>
        <w:rPr>
          <w:rFonts w:ascii="Times New Roman" w:eastAsia="TimesNewRomanPSMT" w:hAnsi="Times New Roman" w:cs="Times New Roman"/>
          <w:sz w:val="28"/>
          <w:szCs w:val="28"/>
          <w:lang w:val="uk-UA"/>
        </w:rPr>
      </w:pPr>
      <w:r w:rsidRPr="00AE525F">
        <w:rPr>
          <w:rFonts w:ascii="Times New Roman" w:eastAsia="TimesNewRomanPSMT" w:hAnsi="Times New Roman" w:cs="Times New Roman"/>
          <w:sz w:val="28"/>
          <w:szCs w:val="28"/>
          <w:lang w:val="uk-UA"/>
        </w:rPr>
        <w:lastRenderedPageBreak/>
        <w:t>У сучасних умовах у доходах місцевих</w:t>
      </w:r>
      <w:r w:rsidRPr="00AE525F">
        <w:rPr>
          <w:rFonts w:ascii="Times New Roman" w:hAnsi="Times New Roman" w:cs="Times New Roman"/>
          <w:bCs/>
          <w:sz w:val="28"/>
          <w:szCs w:val="28"/>
          <w:lang w:val="uk-UA"/>
        </w:rPr>
        <w:t xml:space="preserve"> </w:t>
      </w:r>
      <w:r w:rsidRPr="00AE525F">
        <w:rPr>
          <w:rFonts w:ascii="Times New Roman" w:eastAsia="TimesNewRomanPSMT" w:hAnsi="Times New Roman" w:cs="Times New Roman"/>
          <w:sz w:val="28"/>
          <w:szCs w:val="28"/>
          <w:lang w:val="uk-UA"/>
        </w:rPr>
        <w:t>бюджетів</w:t>
      </w:r>
      <w:r w:rsidR="004265B8" w:rsidRPr="00AE525F">
        <w:rPr>
          <w:rFonts w:ascii="Times New Roman" w:eastAsia="TimesNewRomanPSMT" w:hAnsi="Times New Roman" w:cs="Times New Roman"/>
          <w:sz w:val="28"/>
          <w:szCs w:val="28"/>
          <w:lang w:val="uk-UA"/>
        </w:rPr>
        <w:t xml:space="preserve"> без урахування міжбюджетних трансфертів</w:t>
      </w:r>
      <w:r w:rsidRPr="00AE525F">
        <w:rPr>
          <w:rFonts w:ascii="Times New Roman" w:eastAsia="TimesNewRomanPSMT" w:hAnsi="Times New Roman" w:cs="Times New Roman"/>
          <w:sz w:val="28"/>
          <w:szCs w:val="28"/>
          <w:lang w:val="uk-UA"/>
        </w:rPr>
        <w:t xml:space="preserve"> провідне значення мають загальнодержавні джерела надходжень, які </w:t>
      </w:r>
      <w:r w:rsidR="00336BC1" w:rsidRPr="00AE525F">
        <w:rPr>
          <w:rFonts w:ascii="Times New Roman" w:eastAsia="TimesNewRomanPSMT" w:hAnsi="Times New Roman" w:cs="Times New Roman"/>
          <w:sz w:val="28"/>
          <w:szCs w:val="28"/>
          <w:lang w:val="uk-UA"/>
        </w:rPr>
        <w:t>у певному відсотковому співвідношенні</w:t>
      </w:r>
      <w:r w:rsidRPr="00AE525F">
        <w:rPr>
          <w:rFonts w:ascii="Times New Roman" w:eastAsia="TimesNewRomanPSMT" w:hAnsi="Times New Roman" w:cs="Times New Roman"/>
          <w:sz w:val="28"/>
          <w:szCs w:val="28"/>
          <w:lang w:val="uk-UA"/>
        </w:rPr>
        <w:t xml:space="preserve"> розподіляються за різними рівнями</w:t>
      </w:r>
      <w:r w:rsidRPr="00AE525F">
        <w:rPr>
          <w:rFonts w:ascii="Times New Roman" w:hAnsi="Times New Roman" w:cs="Times New Roman"/>
          <w:bCs/>
          <w:sz w:val="28"/>
          <w:szCs w:val="28"/>
          <w:lang w:val="uk-UA"/>
        </w:rPr>
        <w:t xml:space="preserve"> </w:t>
      </w:r>
      <w:r w:rsidRPr="00AE525F">
        <w:rPr>
          <w:rFonts w:ascii="Times New Roman" w:eastAsia="TimesNewRomanPSMT" w:hAnsi="Times New Roman" w:cs="Times New Roman"/>
          <w:sz w:val="28"/>
          <w:szCs w:val="28"/>
          <w:lang w:val="uk-UA"/>
        </w:rPr>
        <w:t>місцевих бюджетів. Частка переданих загальнодержавних доходів коливається на рівні</w:t>
      </w:r>
      <w:r w:rsidRPr="00AE525F">
        <w:rPr>
          <w:rFonts w:ascii="Times New Roman" w:hAnsi="Times New Roman" w:cs="Times New Roman"/>
          <w:bCs/>
          <w:sz w:val="28"/>
          <w:szCs w:val="28"/>
          <w:lang w:val="uk-UA"/>
        </w:rPr>
        <w:t xml:space="preserve"> </w:t>
      </w:r>
      <w:r w:rsidRPr="00AE525F">
        <w:rPr>
          <w:rFonts w:ascii="Times New Roman" w:eastAsia="TimesNewRomanPSMT" w:hAnsi="Times New Roman" w:cs="Times New Roman"/>
          <w:sz w:val="28"/>
          <w:szCs w:val="28"/>
          <w:lang w:val="uk-UA"/>
        </w:rPr>
        <w:t xml:space="preserve">55-60%, серед них найбільшу частку займають саме загальнодержавні податки і збори (податок на доходи фізичних осіб та акцизний податок). Відтак, актуальність дослідження податкових надходжень як провідного джерела формування дохідної частини місцевих бюджетів не викликає жодного сумніву. </w:t>
      </w:r>
    </w:p>
    <w:p w:rsidR="00BB2431" w:rsidRDefault="00A53901" w:rsidP="00BB2431">
      <w:pPr>
        <w:autoSpaceDE w:val="0"/>
        <w:autoSpaceDN w:val="0"/>
        <w:adjustRightInd w:val="0"/>
        <w:spacing w:after="0" w:line="360" w:lineRule="auto"/>
        <w:ind w:firstLine="708"/>
        <w:jc w:val="both"/>
        <w:rPr>
          <w:rFonts w:ascii="Times New Roman" w:hAnsi="Times New Roman" w:cs="Times New Roman"/>
          <w:sz w:val="28"/>
          <w:szCs w:val="28"/>
          <w:lang w:val="en-US"/>
        </w:rPr>
      </w:pPr>
      <w:r w:rsidRPr="00AE525F">
        <w:rPr>
          <w:rFonts w:ascii="Times New Roman" w:hAnsi="Times New Roman" w:cs="Times New Roman"/>
          <w:b/>
          <w:i/>
          <w:sz w:val="28"/>
          <w:szCs w:val="28"/>
          <w:u w:val="single"/>
          <w:lang w:val="uk-UA"/>
        </w:rPr>
        <w:t>Аналіз останніх досліджень і публікацій</w:t>
      </w:r>
      <w:r w:rsidRPr="00AE525F">
        <w:rPr>
          <w:rFonts w:ascii="Times New Roman" w:hAnsi="Times New Roman" w:cs="Times New Roman"/>
          <w:b/>
          <w:sz w:val="28"/>
          <w:szCs w:val="28"/>
          <w:lang w:val="uk-UA"/>
        </w:rPr>
        <w:t>.</w:t>
      </w:r>
      <w:r w:rsidRPr="00AE525F">
        <w:rPr>
          <w:sz w:val="28"/>
          <w:szCs w:val="28"/>
          <w:lang w:val="uk-UA"/>
        </w:rPr>
        <w:t xml:space="preserve"> </w:t>
      </w:r>
      <w:r w:rsidR="00336BC1" w:rsidRPr="00AE525F">
        <w:rPr>
          <w:rFonts w:ascii="Times New Roman" w:hAnsi="Times New Roman" w:cs="Times New Roman"/>
          <w:sz w:val="28"/>
          <w:szCs w:val="28"/>
          <w:lang w:val="uk-UA"/>
        </w:rPr>
        <w:t>Ф</w:t>
      </w:r>
      <w:r w:rsidR="00BB2431" w:rsidRPr="00AE525F">
        <w:rPr>
          <w:rFonts w:ascii="Times New Roman" w:hAnsi="Times New Roman" w:cs="Times New Roman"/>
          <w:sz w:val="28"/>
          <w:szCs w:val="28"/>
          <w:lang w:val="uk-UA"/>
        </w:rPr>
        <w:t xml:space="preserve">ормування </w:t>
      </w:r>
      <w:r w:rsidR="00336BC1" w:rsidRPr="00AE525F">
        <w:rPr>
          <w:rFonts w:ascii="Times New Roman" w:hAnsi="Times New Roman" w:cs="Times New Roman"/>
          <w:sz w:val="28"/>
          <w:szCs w:val="28"/>
          <w:lang w:val="uk-UA"/>
        </w:rPr>
        <w:t xml:space="preserve">доходів </w:t>
      </w:r>
      <w:r w:rsidR="00BB2431" w:rsidRPr="00AE525F">
        <w:rPr>
          <w:rFonts w:ascii="Times New Roman" w:hAnsi="Times New Roman" w:cs="Times New Roman"/>
          <w:sz w:val="28"/>
          <w:szCs w:val="28"/>
          <w:lang w:val="uk-UA"/>
        </w:rPr>
        <w:t>місцевих бюджетів є предметом гострих наукових дискусій учених-економістів. Зокрема, питання наповнення місцевих бюджетів за рахунок податкових надходжень займалися у своїх працях</w:t>
      </w:r>
      <w:r w:rsidR="00BB2431" w:rsidRPr="00AE525F">
        <w:rPr>
          <w:rFonts w:ascii="Times New Roman" w:eastAsia="Arial,Italic" w:hAnsi="Times New Roman" w:cs="Times New Roman"/>
          <w:i/>
          <w:iCs/>
          <w:sz w:val="28"/>
          <w:szCs w:val="28"/>
          <w:lang w:val="uk-UA"/>
        </w:rPr>
        <w:t xml:space="preserve"> </w:t>
      </w:r>
      <w:r w:rsidR="002B2CFF" w:rsidRPr="00AE525F">
        <w:rPr>
          <w:rFonts w:ascii="Times New Roman" w:hAnsi="Times New Roman" w:cs="Times New Roman"/>
          <w:sz w:val="28"/>
          <w:szCs w:val="28"/>
          <w:lang w:val="uk-UA"/>
        </w:rPr>
        <w:t>О.</w:t>
      </w:r>
      <w:r w:rsidR="00BB2431" w:rsidRPr="00AE525F">
        <w:rPr>
          <w:rFonts w:ascii="Times New Roman" w:hAnsi="Times New Roman" w:cs="Times New Roman"/>
          <w:sz w:val="28"/>
          <w:szCs w:val="28"/>
          <w:lang w:val="uk-UA"/>
        </w:rPr>
        <w:t xml:space="preserve"> Василик</w:t>
      </w:r>
      <w:r w:rsidR="002B2CFF" w:rsidRPr="00AE525F">
        <w:rPr>
          <w:rFonts w:ascii="Times New Roman" w:hAnsi="Times New Roman" w:cs="Times New Roman"/>
          <w:sz w:val="28"/>
          <w:szCs w:val="28"/>
          <w:lang w:val="uk-UA"/>
        </w:rPr>
        <w:t>, В.</w:t>
      </w:r>
      <w:r w:rsidR="00BB2431" w:rsidRPr="00AE525F">
        <w:rPr>
          <w:rFonts w:ascii="Times New Roman" w:hAnsi="Times New Roman" w:cs="Times New Roman"/>
          <w:sz w:val="28"/>
          <w:szCs w:val="28"/>
          <w:lang w:val="uk-UA"/>
        </w:rPr>
        <w:t xml:space="preserve"> Ге</w:t>
      </w:r>
      <w:r w:rsidR="002B2CFF" w:rsidRPr="00AE525F">
        <w:rPr>
          <w:rFonts w:ascii="Times New Roman" w:hAnsi="Times New Roman" w:cs="Times New Roman"/>
          <w:sz w:val="28"/>
          <w:szCs w:val="28"/>
          <w:lang w:val="uk-UA"/>
        </w:rPr>
        <w:t>єць, В.</w:t>
      </w:r>
      <w:r w:rsidR="00BB2431" w:rsidRPr="00AE525F">
        <w:rPr>
          <w:rFonts w:ascii="Times New Roman" w:hAnsi="Times New Roman" w:cs="Times New Roman"/>
          <w:sz w:val="28"/>
          <w:szCs w:val="28"/>
          <w:lang w:val="uk-UA"/>
        </w:rPr>
        <w:t xml:space="preserve"> Дем’янишин, </w:t>
      </w:r>
      <w:r w:rsidR="002B2CFF" w:rsidRPr="00AE525F">
        <w:rPr>
          <w:rFonts w:ascii="Times New Roman" w:hAnsi="Times New Roman" w:cs="Times New Roman"/>
          <w:sz w:val="28"/>
          <w:szCs w:val="28"/>
          <w:lang w:val="uk-UA"/>
        </w:rPr>
        <w:t>О.</w:t>
      </w:r>
      <w:r w:rsidR="00BB2431" w:rsidRPr="00AE525F">
        <w:rPr>
          <w:rFonts w:ascii="Times New Roman" w:hAnsi="Times New Roman" w:cs="Times New Roman"/>
          <w:sz w:val="28"/>
          <w:szCs w:val="28"/>
          <w:lang w:val="uk-UA"/>
        </w:rPr>
        <w:t xml:space="preserve"> Кириленко,</w:t>
      </w:r>
      <w:r w:rsidR="002B2CFF" w:rsidRPr="00AE525F">
        <w:rPr>
          <w:rFonts w:ascii="Times New Roman" w:hAnsi="Times New Roman" w:cs="Times New Roman"/>
          <w:sz w:val="28"/>
          <w:szCs w:val="28"/>
          <w:lang w:val="uk-UA"/>
        </w:rPr>
        <w:t xml:space="preserve"> А. Крисоватий, С.</w:t>
      </w:r>
      <w:r w:rsidR="00BB2431" w:rsidRPr="00AE525F">
        <w:rPr>
          <w:rFonts w:ascii="Times New Roman" w:hAnsi="Times New Roman" w:cs="Times New Roman"/>
          <w:sz w:val="28"/>
          <w:szCs w:val="28"/>
          <w:lang w:val="uk-UA"/>
        </w:rPr>
        <w:t xml:space="preserve"> Юрій</w:t>
      </w:r>
      <w:r w:rsidR="002B2CFF" w:rsidRPr="00AE525F">
        <w:rPr>
          <w:rFonts w:ascii="Times New Roman" w:hAnsi="Times New Roman" w:cs="Times New Roman"/>
          <w:sz w:val="28"/>
          <w:szCs w:val="28"/>
          <w:lang w:val="uk-UA"/>
        </w:rPr>
        <w:t xml:space="preserve"> </w:t>
      </w:r>
      <w:r w:rsidR="001A73A1" w:rsidRPr="00AE525F">
        <w:rPr>
          <w:rFonts w:ascii="Times New Roman" w:hAnsi="Times New Roman" w:cs="Times New Roman"/>
          <w:sz w:val="28"/>
          <w:szCs w:val="28"/>
          <w:lang w:val="uk-UA"/>
        </w:rPr>
        <w:t>[</w:t>
      </w:r>
      <w:r w:rsidR="00AD44AB" w:rsidRPr="00AE525F">
        <w:rPr>
          <w:rFonts w:ascii="Times New Roman" w:hAnsi="Times New Roman" w:cs="Times New Roman"/>
          <w:sz w:val="28"/>
          <w:szCs w:val="28"/>
          <w:lang w:val="uk-UA"/>
        </w:rPr>
        <w:t>1</w:t>
      </w:r>
      <w:r w:rsidR="00B26132" w:rsidRPr="00AE525F">
        <w:rPr>
          <w:rFonts w:ascii="Times New Roman" w:hAnsi="Times New Roman" w:cs="Times New Roman"/>
          <w:sz w:val="28"/>
          <w:szCs w:val="28"/>
          <w:lang w:val="uk-UA"/>
        </w:rPr>
        <w:t>;</w:t>
      </w:r>
      <w:r w:rsidR="00AD44AB" w:rsidRPr="00AE525F">
        <w:rPr>
          <w:rFonts w:ascii="Times New Roman" w:hAnsi="Times New Roman" w:cs="Times New Roman"/>
          <w:sz w:val="28"/>
          <w:szCs w:val="28"/>
          <w:lang w:val="uk-UA"/>
        </w:rPr>
        <w:t xml:space="preserve"> 3</w:t>
      </w:r>
      <w:r w:rsidR="00B26132" w:rsidRPr="00AE525F">
        <w:rPr>
          <w:rFonts w:ascii="Times New Roman" w:hAnsi="Times New Roman" w:cs="Times New Roman"/>
          <w:sz w:val="28"/>
          <w:szCs w:val="28"/>
          <w:lang w:val="uk-UA"/>
        </w:rPr>
        <w:t>;</w:t>
      </w:r>
      <w:r w:rsidR="00AD44AB" w:rsidRPr="00AE525F">
        <w:rPr>
          <w:rFonts w:ascii="Times New Roman" w:hAnsi="Times New Roman" w:cs="Times New Roman"/>
          <w:sz w:val="28"/>
          <w:szCs w:val="28"/>
          <w:lang w:val="uk-UA"/>
        </w:rPr>
        <w:t xml:space="preserve"> 10</w:t>
      </w:r>
      <w:r w:rsidR="001A73A1" w:rsidRPr="00AE525F">
        <w:rPr>
          <w:rFonts w:ascii="Times New Roman" w:hAnsi="Times New Roman" w:cs="Times New Roman"/>
          <w:sz w:val="28"/>
          <w:szCs w:val="28"/>
          <w:lang w:val="uk-UA"/>
        </w:rPr>
        <w:t xml:space="preserve">] </w:t>
      </w:r>
      <w:r w:rsidR="002B2CFF" w:rsidRPr="00AE525F">
        <w:rPr>
          <w:rFonts w:ascii="Times New Roman" w:hAnsi="Times New Roman" w:cs="Times New Roman"/>
          <w:sz w:val="28"/>
          <w:szCs w:val="28"/>
          <w:lang w:val="uk-UA"/>
        </w:rPr>
        <w:t>та інші</w:t>
      </w:r>
      <w:r w:rsidR="00336BC1" w:rsidRPr="00AE525F">
        <w:rPr>
          <w:rFonts w:ascii="Times New Roman" w:hAnsi="Times New Roman" w:cs="Times New Roman"/>
          <w:sz w:val="28"/>
          <w:szCs w:val="28"/>
          <w:lang w:val="uk-UA"/>
        </w:rPr>
        <w:t>.</w:t>
      </w:r>
      <w:r w:rsidR="00BB2431" w:rsidRPr="00AE525F">
        <w:rPr>
          <w:rFonts w:ascii="Times New Roman" w:hAnsi="Times New Roman" w:cs="Times New Roman"/>
          <w:sz w:val="28"/>
          <w:szCs w:val="28"/>
          <w:lang w:val="uk-UA"/>
        </w:rPr>
        <w:t xml:space="preserve"> </w:t>
      </w:r>
      <w:r w:rsidR="00336BC1" w:rsidRPr="00AE525F">
        <w:rPr>
          <w:rFonts w:ascii="Times New Roman" w:hAnsi="Times New Roman" w:cs="Times New Roman"/>
          <w:sz w:val="28"/>
          <w:szCs w:val="28"/>
          <w:lang w:val="uk-UA"/>
        </w:rPr>
        <w:t>П</w:t>
      </w:r>
      <w:r w:rsidR="00BB2431" w:rsidRPr="00AE525F">
        <w:rPr>
          <w:rFonts w:ascii="Times New Roman" w:hAnsi="Times New Roman" w:cs="Times New Roman"/>
          <w:sz w:val="28"/>
          <w:szCs w:val="28"/>
          <w:lang w:val="uk-UA"/>
        </w:rPr>
        <w:t>ідвищення рівня фінансової децентралізації, оптимізації дохідної частини місцевих бюджетів та послаблення їх залежності від трансфертів з державного бюджету</w:t>
      </w:r>
      <w:r w:rsidR="00336BC1" w:rsidRPr="00AE525F">
        <w:rPr>
          <w:rFonts w:ascii="Times New Roman" w:hAnsi="Times New Roman" w:cs="Times New Roman"/>
          <w:sz w:val="28"/>
          <w:szCs w:val="28"/>
          <w:lang w:val="uk-UA"/>
        </w:rPr>
        <w:t xml:space="preserve"> розглянуто у працях </w:t>
      </w:r>
      <w:r w:rsidR="002B2CFF" w:rsidRPr="00AE525F">
        <w:rPr>
          <w:rFonts w:ascii="Times New Roman" w:hAnsi="Times New Roman" w:cs="Times New Roman"/>
          <w:sz w:val="28"/>
          <w:szCs w:val="28"/>
          <w:lang w:val="uk-UA"/>
        </w:rPr>
        <w:t>Т. Затонацьк</w:t>
      </w:r>
      <w:r w:rsidR="00B26132" w:rsidRPr="00AE525F">
        <w:rPr>
          <w:rFonts w:ascii="Times New Roman" w:hAnsi="Times New Roman" w:cs="Times New Roman"/>
          <w:sz w:val="28"/>
          <w:szCs w:val="28"/>
          <w:lang w:val="uk-UA"/>
        </w:rPr>
        <w:t>ої</w:t>
      </w:r>
      <w:r w:rsidR="002B2CFF" w:rsidRPr="00AE525F">
        <w:rPr>
          <w:rFonts w:ascii="Times New Roman" w:hAnsi="Times New Roman" w:cs="Times New Roman"/>
          <w:sz w:val="28"/>
          <w:szCs w:val="28"/>
          <w:lang w:val="uk-UA"/>
        </w:rPr>
        <w:t>, Л. Лісовськ</w:t>
      </w:r>
      <w:r w:rsidR="00B26132" w:rsidRPr="00AE525F">
        <w:rPr>
          <w:rFonts w:ascii="Times New Roman" w:hAnsi="Times New Roman" w:cs="Times New Roman"/>
          <w:sz w:val="28"/>
          <w:szCs w:val="28"/>
          <w:lang w:val="uk-UA"/>
        </w:rPr>
        <w:t>ої</w:t>
      </w:r>
      <w:r w:rsidR="002B2CFF" w:rsidRPr="00AE525F">
        <w:rPr>
          <w:rFonts w:ascii="Times New Roman" w:hAnsi="Times New Roman" w:cs="Times New Roman"/>
          <w:sz w:val="28"/>
          <w:szCs w:val="28"/>
          <w:lang w:val="uk-UA"/>
        </w:rPr>
        <w:t>, О. Молдован, А. Соколовськ</w:t>
      </w:r>
      <w:r w:rsidR="00B26132" w:rsidRPr="00AE525F">
        <w:rPr>
          <w:rFonts w:ascii="Times New Roman" w:hAnsi="Times New Roman" w:cs="Times New Roman"/>
          <w:sz w:val="28"/>
          <w:szCs w:val="28"/>
          <w:lang w:val="uk-UA"/>
        </w:rPr>
        <w:t>ої</w:t>
      </w:r>
      <w:r w:rsidR="002B2CFF" w:rsidRPr="00AE525F">
        <w:rPr>
          <w:rFonts w:ascii="Times New Roman" w:hAnsi="Times New Roman" w:cs="Times New Roman"/>
          <w:sz w:val="28"/>
          <w:szCs w:val="28"/>
          <w:lang w:val="uk-UA"/>
        </w:rPr>
        <w:t xml:space="preserve">, О. </w:t>
      </w:r>
      <w:r w:rsidR="002B2CFF" w:rsidRPr="00934322">
        <w:rPr>
          <w:rFonts w:ascii="Times New Roman" w:hAnsi="Times New Roman" w:cs="Times New Roman"/>
          <w:sz w:val="28"/>
          <w:szCs w:val="28"/>
          <w:lang w:val="uk-UA"/>
        </w:rPr>
        <w:t xml:space="preserve">Ткаченко </w:t>
      </w:r>
      <w:r w:rsidR="00AD44AB" w:rsidRPr="00934322">
        <w:rPr>
          <w:rFonts w:ascii="Times New Roman" w:hAnsi="Times New Roman" w:cs="Times New Roman"/>
          <w:sz w:val="28"/>
          <w:szCs w:val="28"/>
          <w:lang w:val="uk-UA"/>
        </w:rPr>
        <w:t>[2</w:t>
      </w:r>
      <w:r w:rsidR="00B26132" w:rsidRPr="00934322">
        <w:rPr>
          <w:rFonts w:ascii="Times New Roman" w:hAnsi="Times New Roman" w:cs="Times New Roman"/>
          <w:sz w:val="28"/>
          <w:szCs w:val="28"/>
          <w:lang w:val="uk-UA"/>
        </w:rPr>
        <w:t>;</w:t>
      </w:r>
      <w:r w:rsidR="00AD44AB" w:rsidRPr="00934322">
        <w:rPr>
          <w:rFonts w:ascii="Times New Roman" w:hAnsi="Times New Roman" w:cs="Times New Roman"/>
          <w:sz w:val="28"/>
          <w:szCs w:val="28"/>
          <w:lang w:val="uk-UA"/>
        </w:rPr>
        <w:t xml:space="preserve"> 4-9]</w:t>
      </w:r>
      <w:r w:rsidR="00AD44AB" w:rsidRPr="00AE525F">
        <w:rPr>
          <w:rFonts w:ascii="Times New Roman" w:hAnsi="Times New Roman" w:cs="Times New Roman"/>
          <w:sz w:val="28"/>
          <w:szCs w:val="28"/>
          <w:lang w:val="uk-UA"/>
        </w:rPr>
        <w:t xml:space="preserve"> </w:t>
      </w:r>
      <w:r w:rsidR="002B2CFF" w:rsidRPr="00AE525F">
        <w:rPr>
          <w:rFonts w:ascii="Times New Roman" w:hAnsi="Times New Roman" w:cs="Times New Roman"/>
          <w:sz w:val="28"/>
          <w:szCs w:val="28"/>
          <w:lang w:val="uk-UA"/>
        </w:rPr>
        <w:t>та інші.</w:t>
      </w:r>
    </w:p>
    <w:p w:rsidR="00155220" w:rsidRPr="00155220" w:rsidRDefault="00155220" w:rsidP="00BB2431">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Проте, при дослідженні доходів місцевих бюджетів здебільшого увага приділяється міжбюджетним трансфертам або ж наповненню місцевих бюджетів за рахунок місцевих податків і зборів, тоді як питання впливу загальнодержавних податків і зборів на доходи місцевих бюджетів є недостатньо обґрунтованим, а відтак – потребує детального дослідження.</w:t>
      </w:r>
    </w:p>
    <w:p w:rsidR="00AE7E8C" w:rsidRPr="00AE525F" w:rsidRDefault="00A53901" w:rsidP="00BB2431">
      <w:pPr>
        <w:spacing w:after="0" w:line="360" w:lineRule="auto"/>
        <w:ind w:firstLine="708"/>
        <w:jc w:val="both"/>
        <w:rPr>
          <w:rFonts w:ascii="Times New Roman" w:hAnsi="Times New Roman" w:cs="Times New Roman"/>
          <w:sz w:val="28"/>
          <w:szCs w:val="28"/>
          <w:lang w:val="uk-UA"/>
        </w:rPr>
      </w:pPr>
      <w:r w:rsidRPr="00AE525F">
        <w:rPr>
          <w:rFonts w:ascii="Times New Roman" w:hAnsi="Times New Roman" w:cs="Times New Roman"/>
          <w:b/>
          <w:bCs/>
          <w:i/>
          <w:sz w:val="28"/>
          <w:szCs w:val="28"/>
          <w:u w:val="single"/>
          <w:lang w:val="uk-UA"/>
        </w:rPr>
        <w:t>Постановка завдання</w:t>
      </w:r>
      <w:r w:rsidRPr="00AE525F">
        <w:rPr>
          <w:rFonts w:ascii="Times New Roman" w:hAnsi="Times New Roman" w:cs="Times New Roman"/>
          <w:b/>
          <w:bCs/>
          <w:sz w:val="28"/>
          <w:szCs w:val="28"/>
          <w:lang w:val="uk-UA"/>
        </w:rPr>
        <w:t>.</w:t>
      </w:r>
      <w:r w:rsidRPr="00AE525F">
        <w:rPr>
          <w:rFonts w:ascii="Times New Roman" w:hAnsi="Times New Roman" w:cs="Times New Roman"/>
          <w:sz w:val="28"/>
          <w:szCs w:val="28"/>
          <w:lang w:val="uk-UA"/>
        </w:rPr>
        <w:t xml:space="preserve"> </w:t>
      </w:r>
      <w:r w:rsidR="00AE7E8C" w:rsidRPr="00AE525F">
        <w:rPr>
          <w:rFonts w:ascii="Times New Roman" w:hAnsi="Times New Roman" w:cs="Times New Roman"/>
          <w:sz w:val="28"/>
          <w:szCs w:val="28"/>
          <w:lang w:val="uk-UA"/>
        </w:rPr>
        <w:t xml:space="preserve">Метою статті є комплексний аналіз вітчизняної практики </w:t>
      </w:r>
      <w:r w:rsidR="00C805EF" w:rsidRPr="00AE525F">
        <w:rPr>
          <w:rFonts w:ascii="Times New Roman" w:hAnsi="Times New Roman" w:cs="Times New Roman"/>
          <w:sz w:val="28"/>
          <w:szCs w:val="28"/>
          <w:lang w:val="uk-UA"/>
        </w:rPr>
        <w:t xml:space="preserve">формування дохідної частини місцевих бюджетів за рахунок </w:t>
      </w:r>
      <w:r w:rsidR="00AE7E8C" w:rsidRPr="00AE525F">
        <w:rPr>
          <w:rFonts w:ascii="Times New Roman" w:hAnsi="Times New Roman" w:cs="Times New Roman"/>
          <w:sz w:val="28"/>
          <w:szCs w:val="28"/>
          <w:lang w:val="uk-UA"/>
        </w:rPr>
        <w:t>загальнодержавних податків і зборів</w:t>
      </w:r>
      <w:r w:rsidR="00C805EF" w:rsidRPr="00AE525F">
        <w:rPr>
          <w:rFonts w:ascii="Times New Roman" w:hAnsi="Times New Roman" w:cs="Times New Roman"/>
          <w:sz w:val="28"/>
          <w:szCs w:val="28"/>
          <w:lang w:val="uk-UA"/>
        </w:rPr>
        <w:t>, виявлення недоліків та можливих резервів зростання надходжень.</w:t>
      </w:r>
    </w:p>
    <w:p w:rsidR="00BB2431" w:rsidRPr="00AE525F" w:rsidRDefault="00A53901" w:rsidP="00BB2431">
      <w:pPr>
        <w:spacing w:after="0" w:line="360" w:lineRule="auto"/>
        <w:ind w:firstLine="708"/>
        <w:jc w:val="both"/>
        <w:rPr>
          <w:rFonts w:ascii="Times New Roman" w:hAnsi="Times New Roman" w:cs="Times New Roman"/>
          <w:sz w:val="28"/>
          <w:szCs w:val="28"/>
          <w:lang w:val="uk-UA"/>
        </w:rPr>
      </w:pPr>
      <w:r w:rsidRPr="00AE525F">
        <w:rPr>
          <w:rFonts w:ascii="Times New Roman" w:hAnsi="Times New Roman" w:cs="Times New Roman"/>
          <w:b/>
          <w:i/>
          <w:sz w:val="28"/>
          <w:szCs w:val="28"/>
          <w:u w:val="single"/>
          <w:lang w:val="uk-UA"/>
        </w:rPr>
        <w:t>Виклад основного матеріалу дослідження</w:t>
      </w:r>
      <w:r w:rsidRPr="00AE525F">
        <w:rPr>
          <w:rFonts w:ascii="Times New Roman" w:hAnsi="Times New Roman" w:cs="Times New Roman"/>
          <w:b/>
          <w:sz w:val="28"/>
          <w:szCs w:val="28"/>
          <w:lang w:val="uk-UA"/>
        </w:rPr>
        <w:t>.</w:t>
      </w:r>
      <w:r w:rsidRPr="00AE525F">
        <w:rPr>
          <w:sz w:val="28"/>
          <w:szCs w:val="28"/>
          <w:lang w:val="uk-UA"/>
        </w:rPr>
        <w:t xml:space="preserve"> </w:t>
      </w:r>
      <w:r w:rsidR="00BB2431" w:rsidRPr="00AE525F">
        <w:rPr>
          <w:rFonts w:ascii="Times New Roman" w:hAnsi="Times New Roman" w:cs="Times New Roman"/>
          <w:sz w:val="28"/>
          <w:szCs w:val="28"/>
          <w:lang w:val="uk-UA"/>
        </w:rPr>
        <w:t xml:space="preserve">Становлення інституту місцевого самоврядування в Україні передбачає розподіл між центральними та місцевими органами влади як функціональних, так і видаткових повноважень. </w:t>
      </w:r>
      <w:r w:rsidR="00BB2431" w:rsidRPr="00AE525F">
        <w:rPr>
          <w:rFonts w:ascii="Times New Roman" w:hAnsi="Times New Roman" w:cs="Times New Roman"/>
          <w:sz w:val="28"/>
          <w:szCs w:val="28"/>
          <w:lang w:val="uk-UA"/>
        </w:rPr>
        <w:lastRenderedPageBreak/>
        <w:t>Для виконання покладених на місцеві органи влади функцій та завдань, вони повинні бути забезпечені достатніми фінансовими ресурсами.</w:t>
      </w:r>
    </w:p>
    <w:p w:rsidR="00BB2431" w:rsidRPr="00AE525F" w:rsidRDefault="00BB2431" w:rsidP="00133CDE">
      <w:pPr>
        <w:spacing w:after="0" w:line="360" w:lineRule="auto"/>
        <w:ind w:firstLine="708"/>
        <w:jc w:val="both"/>
        <w:rPr>
          <w:rFonts w:ascii="Times New Roman" w:hAnsi="Times New Roman" w:cs="Times New Roman"/>
          <w:sz w:val="28"/>
          <w:szCs w:val="28"/>
          <w:lang w:val="uk-UA"/>
        </w:rPr>
      </w:pPr>
      <w:r w:rsidRPr="00AE525F">
        <w:rPr>
          <w:rFonts w:ascii="Times New Roman" w:hAnsi="Times New Roman" w:cs="Times New Roman"/>
          <w:sz w:val="28"/>
          <w:szCs w:val="28"/>
          <w:lang w:val="uk-UA"/>
        </w:rPr>
        <w:t>Формування дох</w:t>
      </w:r>
      <w:r w:rsidR="00133CDE" w:rsidRPr="00AE525F">
        <w:rPr>
          <w:rFonts w:ascii="Times New Roman" w:hAnsi="Times New Roman" w:cs="Times New Roman"/>
          <w:sz w:val="28"/>
          <w:szCs w:val="28"/>
          <w:lang w:val="uk-UA"/>
        </w:rPr>
        <w:t>ідної частини</w:t>
      </w:r>
      <w:r w:rsidRPr="00AE525F">
        <w:rPr>
          <w:rFonts w:ascii="Times New Roman" w:hAnsi="Times New Roman" w:cs="Times New Roman"/>
          <w:sz w:val="28"/>
          <w:szCs w:val="28"/>
          <w:lang w:val="uk-UA"/>
        </w:rPr>
        <w:t xml:space="preserve"> місцевих бюджетів відбувається здебільшого за рахунок закріплених доходів, що свідчить про виконання місцевою владою переважно делегованих повноважень і високу ступінь її залежності від центральної влади. Частка власних доходів місцевих бюджетів, обсяги яких залежать від рішень, які ухвалюють органи місцевого самоврядування, вкрай незначна, що призводить до скорочення власних повноважень і неможливості вирішення питань місцевого значення. Разом з тим, зарубіжний досвід свідчить, що незалежність джерел фінансування означає й незалежність у прийнятті рішень органами місцевого самоврядування [</w:t>
      </w:r>
      <w:r w:rsidR="00AD44AB" w:rsidRPr="00AE525F">
        <w:rPr>
          <w:rFonts w:ascii="Times New Roman" w:hAnsi="Times New Roman" w:cs="Times New Roman"/>
          <w:sz w:val="28"/>
          <w:szCs w:val="28"/>
          <w:lang w:val="uk-UA"/>
        </w:rPr>
        <w:t>6</w:t>
      </w:r>
      <w:r w:rsidRPr="00AE525F">
        <w:rPr>
          <w:rFonts w:ascii="Times New Roman" w:hAnsi="Times New Roman" w:cs="Times New Roman"/>
          <w:sz w:val="28"/>
          <w:szCs w:val="28"/>
          <w:lang w:val="uk-UA"/>
        </w:rPr>
        <w:t>, с. 91].</w:t>
      </w:r>
      <w:r w:rsidR="00133CDE" w:rsidRPr="00AE525F">
        <w:rPr>
          <w:rFonts w:ascii="Times New Roman" w:hAnsi="Times New Roman" w:cs="Times New Roman"/>
          <w:sz w:val="28"/>
          <w:szCs w:val="28"/>
          <w:lang w:val="uk-UA"/>
        </w:rPr>
        <w:t xml:space="preserve"> </w:t>
      </w:r>
      <w:r w:rsidRPr="00AE525F">
        <w:rPr>
          <w:rFonts w:ascii="Times New Roman" w:hAnsi="Times New Roman" w:cs="Times New Roman"/>
          <w:sz w:val="28"/>
          <w:szCs w:val="28"/>
          <w:lang w:val="uk-UA"/>
        </w:rPr>
        <w:t xml:space="preserve">Відтак, соціально-політична ефективність інституту місцевого самоврядування обумовлена відповідною економічною та матеріально-фінансовою базою, необхідною для виконання покладених на нього повноважень. Сучасна практика </w:t>
      </w:r>
      <w:r w:rsidR="00BB575A" w:rsidRPr="00AE525F">
        <w:rPr>
          <w:rFonts w:ascii="Times New Roman" w:hAnsi="Times New Roman" w:cs="Times New Roman"/>
          <w:sz w:val="28"/>
          <w:szCs w:val="28"/>
          <w:lang w:val="uk-UA"/>
        </w:rPr>
        <w:t>показує</w:t>
      </w:r>
      <w:r w:rsidRPr="00AE525F">
        <w:rPr>
          <w:rFonts w:ascii="Times New Roman" w:hAnsi="Times New Roman" w:cs="Times New Roman"/>
          <w:sz w:val="28"/>
          <w:szCs w:val="28"/>
          <w:lang w:val="uk-UA"/>
        </w:rPr>
        <w:t>, що вирішальне значення для формування фінансового підґрунтя місцевого самоврядування мають доходи місцевих бюджетів. Проте дослідження процесу формування місцевих бюджетів доводить, що вони, як правило, не володіють достатніми фінансовими ресурсами для вирішення питань економічного і соціального значення. Це пояснюється наступними причинами</w:t>
      </w:r>
      <w:r w:rsidR="00522110" w:rsidRPr="00AE525F">
        <w:rPr>
          <w:rFonts w:ascii="Times New Roman" w:hAnsi="Times New Roman" w:cs="Times New Roman"/>
          <w:sz w:val="28"/>
          <w:szCs w:val="28"/>
          <w:lang w:val="uk-UA"/>
        </w:rPr>
        <w:t xml:space="preserve"> [1, с. 344; 3, с. 88]</w:t>
      </w:r>
      <w:r w:rsidRPr="00AE525F">
        <w:rPr>
          <w:rFonts w:ascii="Times New Roman" w:hAnsi="Times New Roman" w:cs="Times New Roman"/>
          <w:sz w:val="28"/>
          <w:szCs w:val="28"/>
          <w:lang w:val="uk-UA"/>
        </w:rPr>
        <w:t>:</w:t>
      </w:r>
    </w:p>
    <w:p w:rsidR="00BB2431" w:rsidRPr="00AE525F" w:rsidRDefault="00BB2431" w:rsidP="00BB2431">
      <w:pPr>
        <w:pStyle w:val="a3"/>
        <w:numPr>
          <w:ilvl w:val="0"/>
          <w:numId w:val="1"/>
        </w:numPr>
        <w:tabs>
          <w:tab w:val="left" w:pos="993"/>
        </w:tabs>
        <w:spacing w:line="360" w:lineRule="auto"/>
        <w:ind w:left="0" w:firstLine="708"/>
        <w:jc w:val="both"/>
        <w:rPr>
          <w:sz w:val="28"/>
          <w:szCs w:val="28"/>
          <w:lang w:val="uk-UA"/>
        </w:rPr>
      </w:pPr>
      <w:r w:rsidRPr="00AE525F">
        <w:rPr>
          <w:sz w:val="28"/>
          <w:szCs w:val="28"/>
          <w:lang w:val="uk-UA"/>
        </w:rPr>
        <w:t>дублюванням функцій у розподілі повноважень між різними рівнями влади;</w:t>
      </w:r>
    </w:p>
    <w:p w:rsidR="00BB2431" w:rsidRPr="00AE525F" w:rsidRDefault="00BB2431" w:rsidP="00BB2431">
      <w:pPr>
        <w:pStyle w:val="a3"/>
        <w:numPr>
          <w:ilvl w:val="0"/>
          <w:numId w:val="1"/>
        </w:numPr>
        <w:tabs>
          <w:tab w:val="left" w:pos="993"/>
        </w:tabs>
        <w:spacing w:line="360" w:lineRule="auto"/>
        <w:ind w:left="0" w:firstLine="708"/>
        <w:jc w:val="both"/>
        <w:rPr>
          <w:sz w:val="28"/>
          <w:szCs w:val="28"/>
          <w:lang w:val="uk-UA"/>
        </w:rPr>
      </w:pPr>
      <w:r w:rsidRPr="00AE525F">
        <w:rPr>
          <w:sz w:val="28"/>
          <w:szCs w:val="28"/>
          <w:lang w:val="uk-UA"/>
        </w:rPr>
        <w:t>високим рівнем централізації фінансових ресурсів у державному бюджеті, що знижує значення місцевих бюджетів і сприяє зростанню їх залежності від рішень центральної влади;</w:t>
      </w:r>
    </w:p>
    <w:p w:rsidR="00BB2431" w:rsidRPr="00AE525F" w:rsidRDefault="00BB2431" w:rsidP="00BB2431">
      <w:pPr>
        <w:pStyle w:val="a3"/>
        <w:numPr>
          <w:ilvl w:val="0"/>
          <w:numId w:val="1"/>
        </w:numPr>
        <w:tabs>
          <w:tab w:val="left" w:pos="993"/>
        </w:tabs>
        <w:spacing w:line="360" w:lineRule="auto"/>
        <w:ind w:left="0" w:firstLine="708"/>
        <w:jc w:val="both"/>
        <w:rPr>
          <w:sz w:val="28"/>
          <w:szCs w:val="28"/>
          <w:lang w:val="uk-UA"/>
        </w:rPr>
      </w:pPr>
      <w:r w:rsidRPr="00AE525F">
        <w:rPr>
          <w:sz w:val="28"/>
          <w:szCs w:val="28"/>
          <w:lang w:val="uk-UA"/>
        </w:rPr>
        <w:t>незадовільним забезпеченням делегованих повноважень відповідними закріпленими доходами;</w:t>
      </w:r>
    </w:p>
    <w:p w:rsidR="00BB2431" w:rsidRPr="00AE525F" w:rsidRDefault="00BB2431" w:rsidP="00BB2431">
      <w:pPr>
        <w:pStyle w:val="a3"/>
        <w:numPr>
          <w:ilvl w:val="0"/>
          <w:numId w:val="1"/>
        </w:numPr>
        <w:tabs>
          <w:tab w:val="left" w:pos="993"/>
        </w:tabs>
        <w:spacing w:line="360" w:lineRule="auto"/>
        <w:ind w:left="0" w:firstLine="708"/>
        <w:jc w:val="both"/>
        <w:rPr>
          <w:sz w:val="28"/>
          <w:szCs w:val="28"/>
          <w:lang w:val="uk-UA"/>
        </w:rPr>
      </w:pPr>
      <w:r w:rsidRPr="00AE525F">
        <w:rPr>
          <w:sz w:val="28"/>
          <w:szCs w:val="28"/>
          <w:lang w:val="uk-UA"/>
        </w:rPr>
        <w:t>невиконанням державою зобов’язань щодо відшкодування втрат місцевих бюджетів, що призводить до неналежного виконання власних повноважень;</w:t>
      </w:r>
    </w:p>
    <w:p w:rsidR="00BB2431" w:rsidRPr="00AE525F" w:rsidRDefault="00BB2431" w:rsidP="00BB2431">
      <w:pPr>
        <w:pStyle w:val="a3"/>
        <w:numPr>
          <w:ilvl w:val="0"/>
          <w:numId w:val="1"/>
        </w:numPr>
        <w:tabs>
          <w:tab w:val="left" w:pos="993"/>
        </w:tabs>
        <w:spacing w:line="360" w:lineRule="auto"/>
        <w:ind w:left="0" w:firstLine="708"/>
        <w:jc w:val="both"/>
        <w:rPr>
          <w:sz w:val="28"/>
          <w:szCs w:val="28"/>
          <w:lang w:val="uk-UA"/>
        </w:rPr>
      </w:pPr>
      <w:r w:rsidRPr="00AE525F">
        <w:rPr>
          <w:sz w:val="28"/>
          <w:szCs w:val="28"/>
          <w:lang w:val="uk-UA"/>
        </w:rPr>
        <w:lastRenderedPageBreak/>
        <w:t>домінуючою роллю загальнодержавних податків і зборів, що не стимулює місцеві органи влади до здійснення виваженої фіскальної політики.</w:t>
      </w:r>
    </w:p>
    <w:p w:rsidR="00BB2431" w:rsidRPr="00AE525F" w:rsidRDefault="00BB575A" w:rsidP="00C21BEB">
      <w:pPr>
        <w:spacing w:after="0" w:line="360" w:lineRule="auto"/>
        <w:ind w:firstLine="708"/>
        <w:jc w:val="both"/>
        <w:rPr>
          <w:rFonts w:ascii="Times New Roman" w:hAnsi="Times New Roman" w:cs="Times New Roman"/>
          <w:sz w:val="28"/>
          <w:szCs w:val="28"/>
          <w:lang w:val="uk-UA"/>
        </w:rPr>
      </w:pPr>
      <w:r w:rsidRPr="00AE525F">
        <w:rPr>
          <w:rFonts w:ascii="Times New Roman" w:hAnsi="Times New Roman" w:cs="Times New Roman"/>
          <w:sz w:val="28"/>
          <w:szCs w:val="28"/>
          <w:lang w:val="uk-UA"/>
        </w:rPr>
        <w:t xml:space="preserve">Зарахування </w:t>
      </w:r>
      <w:r w:rsidR="00BB2431" w:rsidRPr="00AE525F">
        <w:rPr>
          <w:rFonts w:ascii="Times New Roman" w:hAnsi="Times New Roman" w:cs="Times New Roman"/>
          <w:sz w:val="28"/>
          <w:szCs w:val="28"/>
          <w:lang w:val="uk-UA"/>
        </w:rPr>
        <w:t xml:space="preserve">загальнодержавних і місцевих податків та зборів до державного і місцевих бюджетів здійснюється відповідно до Бюджетного кодексу України. </w:t>
      </w:r>
      <w:r w:rsidR="00155220" w:rsidRPr="00155220">
        <w:rPr>
          <w:rFonts w:ascii="Times New Roman" w:hAnsi="Times New Roman" w:cs="Times New Roman"/>
          <w:sz w:val="28"/>
          <w:szCs w:val="28"/>
          <w:lang w:val="uk-UA"/>
        </w:rPr>
        <w:t>Зокрема:</w:t>
      </w:r>
    </w:p>
    <w:p w:rsidR="00C21BEB" w:rsidRPr="00AE525F" w:rsidRDefault="00C21BEB" w:rsidP="00C21BEB">
      <w:pPr>
        <w:pStyle w:val="a3"/>
        <w:numPr>
          <w:ilvl w:val="0"/>
          <w:numId w:val="1"/>
        </w:numPr>
        <w:spacing w:line="360" w:lineRule="auto"/>
        <w:jc w:val="both"/>
        <w:rPr>
          <w:sz w:val="28"/>
          <w:szCs w:val="28"/>
          <w:lang w:val="uk-UA"/>
        </w:rPr>
      </w:pPr>
      <w:r w:rsidRPr="00AE525F">
        <w:rPr>
          <w:sz w:val="28"/>
          <w:szCs w:val="28"/>
          <w:lang w:val="uk-UA"/>
        </w:rPr>
        <w:t>Податок на доходи фізичних осіб;</w:t>
      </w:r>
    </w:p>
    <w:p w:rsidR="00C21BEB" w:rsidRPr="00AE525F" w:rsidRDefault="00C21BEB" w:rsidP="00C21BEB">
      <w:pPr>
        <w:pStyle w:val="a3"/>
        <w:numPr>
          <w:ilvl w:val="0"/>
          <w:numId w:val="1"/>
        </w:numPr>
        <w:spacing w:line="360" w:lineRule="auto"/>
        <w:jc w:val="both"/>
        <w:rPr>
          <w:sz w:val="28"/>
          <w:szCs w:val="28"/>
          <w:lang w:val="uk-UA"/>
        </w:rPr>
      </w:pPr>
      <w:r w:rsidRPr="00AE525F">
        <w:rPr>
          <w:sz w:val="28"/>
          <w:szCs w:val="28"/>
          <w:lang w:val="uk-UA"/>
        </w:rPr>
        <w:t>Податок на прибуток підприємств;</w:t>
      </w:r>
    </w:p>
    <w:p w:rsidR="00C21BEB" w:rsidRPr="00AE525F" w:rsidRDefault="00C21BEB" w:rsidP="00C21BEB">
      <w:pPr>
        <w:pStyle w:val="a3"/>
        <w:numPr>
          <w:ilvl w:val="0"/>
          <w:numId w:val="1"/>
        </w:numPr>
        <w:spacing w:line="360" w:lineRule="auto"/>
        <w:jc w:val="both"/>
        <w:rPr>
          <w:sz w:val="28"/>
          <w:szCs w:val="28"/>
          <w:lang w:val="uk-UA"/>
        </w:rPr>
      </w:pPr>
      <w:r w:rsidRPr="00AE525F">
        <w:rPr>
          <w:sz w:val="28"/>
          <w:szCs w:val="28"/>
          <w:lang w:val="uk-UA"/>
        </w:rPr>
        <w:t>Акцизний податок з реалізації суб’єктами господарювання роздрібної торгівлі підакцизних товарів;</w:t>
      </w:r>
    </w:p>
    <w:p w:rsidR="00C21BEB" w:rsidRPr="00AE525F" w:rsidRDefault="00C21BEB" w:rsidP="00C21BEB">
      <w:pPr>
        <w:pStyle w:val="a3"/>
        <w:numPr>
          <w:ilvl w:val="0"/>
          <w:numId w:val="1"/>
        </w:numPr>
        <w:spacing w:line="360" w:lineRule="auto"/>
        <w:jc w:val="both"/>
        <w:rPr>
          <w:sz w:val="28"/>
          <w:szCs w:val="28"/>
          <w:lang w:val="uk-UA"/>
        </w:rPr>
      </w:pPr>
      <w:r w:rsidRPr="00AE525F">
        <w:rPr>
          <w:sz w:val="28"/>
          <w:szCs w:val="28"/>
          <w:lang w:val="uk-UA"/>
        </w:rPr>
        <w:t>Рентна плата (</w:t>
      </w:r>
      <w:r w:rsidRPr="00AE525F">
        <w:rPr>
          <w:i/>
          <w:sz w:val="28"/>
          <w:szCs w:val="28"/>
          <w:lang w:val="uk-UA"/>
        </w:rPr>
        <w:t>за спеціальне використання лісових ресурсів за спеціальне використання води; за користування надрами</w:t>
      </w:r>
      <w:r w:rsidRPr="00AE525F">
        <w:rPr>
          <w:sz w:val="28"/>
          <w:szCs w:val="28"/>
          <w:lang w:val="uk-UA"/>
        </w:rPr>
        <w:t>);</w:t>
      </w:r>
    </w:p>
    <w:p w:rsidR="00C21BEB" w:rsidRPr="00AE525F" w:rsidRDefault="00C21BEB" w:rsidP="00C21BEB">
      <w:pPr>
        <w:pStyle w:val="a3"/>
        <w:numPr>
          <w:ilvl w:val="0"/>
          <w:numId w:val="1"/>
        </w:numPr>
        <w:spacing w:line="360" w:lineRule="auto"/>
        <w:jc w:val="both"/>
        <w:rPr>
          <w:sz w:val="28"/>
          <w:szCs w:val="28"/>
          <w:lang w:val="uk-UA"/>
        </w:rPr>
      </w:pPr>
      <w:r w:rsidRPr="00AE525F">
        <w:rPr>
          <w:sz w:val="28"/>
          <w:szCs w:val="28"/>
          <w:lang w:val="uk-UA"/>
        </w:rPr>
        <w:t>Екологічний податок.</w:t>
      </w:r>
    </w:p>
    <w:p w:rsidR="0034336B" w:rsidRPr="00AE525F" w:rsidRDefault="00A11DFE" w:rsidP="0034336B">
      <w:pPr>
        <w:spacing w:after="0" w:line="360" w:lineRule="auto"/>
        <w:ind w:firstLine="708"/>
        <w:jc w:val="both"/>
        <w:rPr>
          <w:rFonts w:ascii="Times New Roman" w:hAnsi="Times New Roman" w:cs="Times New Roman"/>
          <w:sz w:val="28"/>
          <w:szCs w:val="28"/>
          <w:lang w:val="uk-UA"/>
        </w:rPr>
      </w:pPr>
      <w:r w:rsidRPr="00AE525F">
        <w:rPr>
          <w:rFonts w:ascii="Times New Roman" w:hAnsi="Times New Roman" w:cs="Times New Roman"/>
          <w:sz w:val="28"/>
          <w:szCs w:val="28"/>
          <w:lang w:val="uk-UA"/>
        </w:rPr>
        <w:t>У таблиці 1</w:t>
      </w:r>
      <w:r w:rsidR="00C21BEB" w:rsidRPr="00AE525F">
        <w:rPr>
          <w:rFonts w:ascii="Times New Roman" w:hAnsi="Times New Roman" w:cs="Times New Roman"/>
          <w:sz w:val="28"/>
          <w:szCs w:val="28"/>
          <w:lang w:val="uk-UA"/>
        </w:rPr>
        <w:t xml:space="preserve"> представлено перелік загальнодержавних податків і зборів, які наповнюють місцеві бюджети і їх розподіл між окремими видами </w:t>
      </w:r>
      <w:r w:rsidR="0034336B" w:rsidRPr="00AE525F">
        <w:rPr>
          <w:rFonts w:ascii="Times New Roman" w:hAnsi="Times New Roman" w:cs="Times New Roman"/>
          <w:sz w:val="28"/>
          <w:szCs w:val="28"/>
          <w:lang w:val="uk-UA"/>
        </w:rPr>
        <w:t>місцевих бюджетів України. Так, ПДФО, мобілізований по території міста Києва зараховується до бюджету цього міста у розмірі 40</w:t>
      </w:r>
      <w:r w:rsidR="005977BA" w:rsidRPr="00AE525F">
        <w:rPr>
          <w:rFonts w:ascii="Times New Roman" w:hAnsi="Times New Roman" w:cs="Times New Roman"/>
          <w:sz w:val="28"/>
          <w:szCs w:val="28"/>
          <w:lang w:val="uk-UA"/>
        </w:rPr>
        <w:t> </w:t>
      </w:r>
      <w:r w:rsidR="0034336B" w:rsidRPr="00AE525F">
        <w:rPr>
          <w:rFonts w:ascii="Times New Roman" w:hAnsi="Times New Roman" w:cs="Times New Roman"/>
          <w:sz w:val="28"/>
          <w:szCs w:val="28"/>
          <w:lang w:val="uk-UA"/>
        </w:rPr>
        <w:t>%, а решта – 60</w:t>
      </w:r>
      <w:r w:rsidR="005977BA" w:rsidRPr="00AE525F">
        <w:rPr>
          <w:rFonts w:ascii="Times New Roman" w:hAnsi="Times New Roman" w:cs="Times New Roman"/>
          <w:sz w:val="28"/>
          <w:szCs w:val="28"/>
          <w:lang w:val="uk-UA"/>
        </w:rPr>
        <w:t> </w:t>
      </w:r>
      <w:r w:rsidR="0034336B" w:rsidRPr="00AE525F">
        <w:rPr>
          <w:rFonts w:ascii="Times New Roman" w:hAnsi="Times New Roman" w:cs="Times New Roman"/>
          <w:sz w:val="28"/>
          <w:szCs w:val="28"/>
          <w:lang w:val="uk-UA"/>
        </w:rPr>
        <w:t>% зараховується до державного бюджету. ПДФО, мобілізований по території міст обласного значення, районів та ОТГ надходить до бюджетів цих адміністративних одиниць у розмірі 60</w:t>
      </w:r>
      <w:r w:rsidR="005977BA" w:rsidRPr="00AE525F">
        <w:rPr>
          <w:rFonts w:ascii="Times New Roman" w:hAnsi="Times New Roman" w:cs="Times New Roman"/>
          <w:sz w:val="28"/>
          <w:szCs w:val="28"/>
          <w:lang w:val="uk-UA"/>
        </w:rPr>
        <w:t> </w:t>
      </w:r>
      <w:r w:rsidR="0034336B" w:rsidRPr="00AE525F">
        <w:rPr>
          <w:rFonts w:ascii="Times New Roman" w:hAnsi="Times New Roman" w:cs="Times New Roman"/>
          <w:sz w:val="28"/>
          <w:szCs w:val="28"/>
          <w:lang w:val="uk-UA"/>
        </w:rPr>
        <w:t>%, 15</w:t>
      </w:r>
      <w:r w:rsidR="005977BA" w:rsidRPr="00AE525F">
        <w:rPr>
          <w:rFonts w:ascii="Times New Roman" w:hAnsi="Times New Roman" w:cs="Times New Roman"/>
          <w:sz w:val="28"/>
          <w:szCs w:val="28"/>
          <w:lang w:val="uk-UA"/>
        </w:rPr>
        <w:t> </w:t>
      </w:r>
      <w:r w:rsidR="0034336B" w:rsidRPr="00AE525F">
        <w:rPr>
          <w:rFonts w:ascii="Times New Roman" w:hAnsi="Times New Roman" w:cs="Times New Roman"/>
          <w:sz w:val="28"/>
          <w:szCs w:val="28"/>
          <w:lang w:val="uk-UA"/>
        </w:rPr>
        <w:t>% ПДФО зараховується до обласних бюджетів, а 25</w:t>
      </w:r>
      <w:r w:rsidR="005977BA" w:rsidRPr="00AE525F">
        <w:rPr>
          <w:rFonts w:ascii="Times New Roman" w:hAnsi="Times New Roman" w:cs="Times New Roman"/>
          <w:sz w:val="28"/>
          <w:szCs w:val="28"/>
          <w:lang w:val="uk-UA"/>
        </w:rPr>
        <w:t> </w:t>
      </w:r>
      <w:r w:rsidR="0034336B" w:rsidRPr="00AE525F">
        <w:rPr>
          <w:rFonts w:ascii="Times New Roman" w:hAnsi="Times New Roman" w:cs="Times New Roman"/>
          <w:sz w:val="28"/>
          <w:szCs w:val="28"/>
          <w:lang w:val="uk-UA"/>
        </w:rPr>
        <w:t xml:space="preserve">% – до державного бюджету. До бюджетів міст, селищ і сіл, які не об’єдналися в ОТГ даний податок не поступає. </w:t>
      </w:r>
    </w:p>
    <w:p w:rsidR="00A53901" w:rsidRPr="00AE525F" w:rsidRDefault="0034336B" w:rsidP="00FE4717">
      <w:pPr>
        <w:spacing w:after="0" w:line="360" w:lineRule="auto"/>
        <w:ind w:firstLine="708"/>
        <w:jc w:val="both"/>
        <w:rPr>
          <w:rFonts w:ascii="Times New Roman" w:hAnsi="Times New Roman" w:cs="Times New Roman"/>
          <w:sz w:val="28"/>
          <w:szCs w:val="28"/>
          <w:lang w:val="uk-UA"/>
        </w:rPr>
      </w:pPr>
      <w:r w:rsidRPr="00AE525F">
        <w:rPr>
          <w:rFonts w:ascii="Times New Roman" w:hAnsi="Times New Roman" w:cs="Times New Roman"/>
          <w:sz w:val="28"/>
          <w:szCs w:val="28"/>
          <w:lang w:val="uk-UA"/>
        </w:rPr>
        <w:t>Податок на прибуток підприємств реального сектору економіки поступає у розмірі 10</w:t>
      </w:r>
      <w:r w:rsidR="008864A4"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xml:space="preserve">% до обласних бюджетів, а податок на прибуток підприємств і установ комунальної власності – засновником </w:t>
      </w:r>
      <w:r w:rsidR="008864A4" w:rsidRPr="00AE525F">
        <w:rPr>
          <w:rFonts w:ascii="Times New Roman" w:hAnsi="Times New Roman" w:cs="Times New Roman"/>
          <w:sz w:val="28"/>
          <w:szCs w:val="28"/>
          <w:lang w:val="uk-UA"/>
        </w:rPr>
        <w:t>яких є районні, міські ради, об’єднані</w:t>
      </w:r>
      <w:r w:rsidRPr="00AE525F">
        <w:rPr>
          <w:rFonts w:ascii="Times New Roman" w:hAnsi="Times New Roman" w:cs="Times New Roman"/>
          <w:sz w:val="28"/>
          <w:szCs w:val="28"/>
          <w:lang w:val="uk-UA"/>
        </w:rPr>
        <w:t xml:space="preserve"> територіальні громади, зараховується відповідно до </w:t>
      </w:r>
      <w:r w:rsidR="00A53901" w:rsidRPr="00AE525F">
        <w:rPr>
          <w:rFonts w:ascii="Times New Roman" w:hAnsi="Times New Roman" w:cs="Times New Roman"/>
          <w:sz w:val="28"/>
          <w:szCs w:val="28"/>
          <w:lang w:val="uk-UA"/>
        </w:rPr>
        <w:t>районних</w:t>
      </w:r>
      <w:r w:rsidR="008864A4" w:rsidRPr="00AE525F">
        <w:rPr>
          <w:rFonts w:ascii="Times New Roman" w:hAnsi="Times New Roman" w:cs="Times New Roman"/>
          <w:sz w:val="28"/>
          <w:szCs w:val="28"/>
          <w:lang w:val="uk-UA"/>
        </w:rPr>
        <w:t>, міських бюджетів, бюджетів об’єднаних</w:t>
      </w:r>
      <w:r w:rsidR="00A53901" w:rsidRPr="00AE525F">
        <w:rPr>
          <w:rFonts w:ascii="Times New Roman" w:hAnsi="Times New Roman" w:cs="Times New Roman"/>
          <w:sz w:val="28"/>
          <w:szCs w:val="28"/>
          <w:lang w:val="uk-UA"/>
        </w:rPr>
        <w:t xml:space="preserve"> територіальних громад [</w:t>
      </w:r>
      <w:r w:rsidR="00AD44AB" w:rsidRPr="00AE525F">
        <w:rPr>
          <w:rFonts w:ascii="Times New Roman" w:hAnsi="Times New Roman" w:cs="Times New Roman"/>
          <w:sz w:val="28"/>
          <w:szCs w:val="28"/>
          <w:lang w:val="uk-UA"/>
        </w:rPr>
        <w:t>2</w:t>
      </w:r>
      <w:r w:rsidR="00A53901" w:rsidRPr="00AE525F">
        <w:rPr>
          <w:rFonts w:ascii="Times New Roman" w:hAnsi="Times New Roman" w:cs="Times New Roman"/>
          <w:sz w:val="28"/>
          <w:szCs w:val="28"/>
          <w:lang w:val="uk-UA"/>
        </w:rPr>
        <w:t>].</w:t>
      </w:r>
      <w:r w:rsidR="00FE4717" w:rsidRPr="00AE525F">
        <w:rPr>
          <w:rFonts w:ascii="Times New Roman" w:hAnsi="Times New Roman" w:cs="Times New Roman"/>
          <w:sz w:val="28"/>
          <w:szCs w:val="28"/>
          <w:lang w:val="uk-UA"/>
        </w:rPr>
        <w:t xml:space="preserve"> Акцизний податок з реалізації суб’єктами господарювання роздрібної торгівлі підакцизних товарів зараховується до бюджетів об’єднаних територіальних громад, міських та обласних бюджетів у розмірі 5</w:t>
      </w:r>
      <w:r w:rsidR="008864A4" w:rsidRPr="00AE525F">
        <w:rPr>
          <w:rFonts w:ascii="Times New Roman" w:hAnsi="Times New Roman" w:cs="Times New Roman"/>
          <w:sz w:val="28"/>
          <w:szCs w:val="28"/>
          <w:lang w:val="uk-UA"/>
        </w:rPr>
        <w:t> </w:t>
      </w:r>
      <w:r w:rsidR="00FE4717" w:rsidRPr="00AE525F">
        <w:rPr>
          <w:rFonts w:ascii="Times New Roman" w:hAnsi="Times New Roman" w:cs="Times New Roman"/>
          <w:sz w:val="28"/>
          <w:szCs w:val="28"/>
          <w:lang w:val="uk-UA"/>
        </w:rPr>
        <w:t>%. До складу спеціального фонду місцевих бюджетів відносять 80</w:t>
      </w:r>
      <w:r w:rsidR="008864A4" w:rsidRPr="00AE525F">
        <w:rPr>
          <w:rFonts w:ascii="Times New Roman" w:hAnsi="Times New Roman" w:cs="Times New Roman"/>
          <w:sz w:val="28"/>
          <w:szCs w:val="28"/>
          <w:lang w:val="uk-UA"/>
        </w:rPr>
        <w:t> </w:t>
      </w:r>
      <w:r w:rsidR="00FE4717" w:rsidRPr="00AE525F">
        <w:rPr>
          <w:rFonts w:ascii="Times New Roman" w:hAnsi="Times New Roman" w:cs="Times New Roman"/>
          <w:sz w:val="28"/>
          <w:szCs w:val="28"/>
          <w:lang w:val="uk-UA"/>
        </w:rPr>
        <w:t xml:space="preserve">% екологічного податку. </w:t>
      </w:r>
    </w:p>
    <w:p w:rsidR="00C21BEB" w:rsidRPr="00AE525F" w:rsidRDefault="00C21BEB" w:rsidP="00FE4717">
      <w:pPr>
        <w:spacing w:after="0" w:line="360" w:lineRule="auto"/>
        <w:rPr>
          <w:b/>
          <w:sz w:val="28"/>
          <w:szCs w:val="28"/>
          <w:lang w:val="uk-UA"/>
        </w:rPr>
        <w:sectPr w:rsidR="00C21BEB" w:rsidRPr="00AE525F" w:rsidSect="00FE4717">
          <w:pgSz w:w="11906" w:h="16838"/>
          <w:pgMar w:top="1134" w:right="1134" w:bottom="1134" w:left="1134" w:header="708" w:footer="708" w:gutter="0"/>
          <w:cols w:space="708"/>
          <w:docGrid w:linePitch="360"/>
        </w:sectPr>
      </w:pPr>
    </w:p>
    <w:p w:rsidR="00BB2431" w:rsidRPr="00AE525F" w:rsidRDefault="00C21BEB" w:rsidP="00BB2431">
      <w:pPr>
        <w:spacing w:line="360" w:lineRule="auto"/>
        <w:jc w:val="right"/>
        <w:rPr>
          <w:rFonts w:ascii="Times New Roman" w:hAnsi="Times New Roman" w:cs="Times New Roman"/>
          <w:b/>
          <w:i/>
          <w:sz w:val="28"/>
          <w:szCs w:val="28"/>
          <w:lang w:val="uk-UA"/>
        </w:rPr>
      </w:pPr>
      <w:r w:rsidRPr="00AE525F">
        <w:rPr>
          <w:rFonts w:ascii="Times New Roman" w:hAnsi="Times New Roman" w:cs="Times New Roman"/>
          <w:b/>
          <w:i/>
          <w:sz w:val="28"/>
          <w:szCs w:val="28"/>
          <w:lang w:val="uk-UA"/>
        </w:rPr>
        <w:lastRenderedPageBreak/>
        <w:t>Таблиця 1</w:t>
      </w:r>
    </w:p>
    <w:p w:rsidR="00BB2431" w:rsidRPr="00AE525F" w:rsidRDefault="00BB2431" w:rsidP="00BB2431">
      <w:pPr>
        <w:spacing w:line="360" w:lineRule="auto"/>
        <w:ind w:firstLine="708"/>
        <w:jc w:val="center"/>
        <w:rPr>
          <w:rFonts w:ascii="Times New Roman" w:hAnsi="Times New Roman" w:cs="Times New Roman"/>
          <w:b/>
          <w:sz w:val="28"/>
          <w:szCs w:val="28"/>
          <w:lang w:val="uk-UA"/>
        </w:rPr>
      </w:pPr>
      <w:r w:rsidRPr="00AE525F">
        <w:rPr>
          <w:rFonts w:ascii="Times New Roman" w:hAnsi="Times New Roman" w:cs="Times New Roman"/>
          <w:b/>
          <w:sz w:val="28"/>
          <w:szCs w:val="28"/>
          <w:lang w:val="uk-UA"/>
        </w:rPr>
        <w:t>Розподіл загальнодержавних податків і зборів між місцевими бюджетами різних рівнів в Україні</w:t>
      </w:r>
    </w:p>
    <w:tbl>
      <w:tblPr>
        <w:tblStyle w:val="a4"/>
        <w:tblW w:w="14992" w:type="dxa"/>
        <w:tblLook w:val="04A0"/>
      </w:tblPr>
      <w:tblGrid>
        <w:gridCol w:w="810"/>
        <w:gridCol w:w="3364"/>
        <w:gridCol w:w="1532"/>
        <w:gridCol w:w="1687"/>
        <w:gridCol w:w="1552"/>
        <w:gridCol w:w="1795"/>
        <w:gridCol w:w="2126"/>
        <w:gridCol w:w="2126"/>
      </w:tblGrid>
      <w:tr w:rsidR="008864A4" w:rsidRPr="00AE525F" w:rsidTr="008864A4">
        <w:trPr>
          <w:trHeight w:val="838"/>
        </w:trPr>
        <w:tc>
          <w:tcPr>
            <w:tcW w:w="810" w:type="dxa"/>
            <w:vMerge w:val="restart"/>
            <w:tcBorders>
              <w:right w:val="single" w:sz="4" w:space="0" w:color="auto"/>
            </w:tcBorders>
          </w:tcPr>
          <w:p w:rsidR="008864A4" w:rsidRPr="00AE525F" w:rsidRDefault="008864A4" w:rsidP="00FF5B1F">
            <w:pPr>
              <w:jc w:val="center"/>
              <w:rPr>
                <w:rFonts w:ascii="Times New Roman" w:hAnsi="Times New Roman" w:cs="Times New Roman"/>
                <w:b/>
                <w:sz w:val="24"/>
                <w:szCs w:val="24"/>
                <w:lang w:val="uk-UA"/>
              </w:rPr>
            </w:pPr>
            <w:r w:rsidRPr="00AE525F">
              <w:rPr>
                <w:rFonts w:ascii="Times New Roman" w:hAnsi="Times New Roman" w:cs="Times New Roman"/>
                <w:sz w:val="24"/>
                <w:szCs w:val="24"/>
                <w:lang w:val="uk-UA"/>
              </w:rPr>
              <w:t>№ п/п</w:t>
            </w:r>
          </w:p>
        </w:tc>
        <w:tc>
          <w:tcPr>
            <w:tcW w:w="3364" w:type="dxa"/>
            <w:vMerge w:val="restart"/>
            <w:tcBorders>
              <w:right w:val="single" w:sz="4" w:space="0" w:color="auto"/>
            </w:tcBorders>
            <w:vAlign w:val="center"/>
          </w:tcPr>
          <w:p w:rsidR="008864A4" w:rsidRPr="00AE525F" w:rsidRDefault="008864A4" w:rsidP="008864A4">
            <w:pPr>
              <w:jc w:val="center"/>
              <w:rPr>
                <w:rFonts w:ascii="Times New Roman" w:hAnsi="Times New Roman" w:cs="Times New Roman"/>
                <w:b/>
                <w:sz w:val="24"/>
                <w:szCs w:val="24"/>
                <w:lang w:val="uk-UA"/>
              </w:rPr>
            </w:pPr>
            <w:r w:rsidRPr="00AE525F">
              <w:rPr>
                <w:rFonts w:ascii="Times New Roman" w:hAnsi="Times New Roman" w:cs="Times New Roman"/>
                <w:sz w:val="24"/>
                <w:szCs w:val="24"/>
                <w:lang w:val="uk-UA"/>
              </w:rPr>
              <w:t>Загальнодержавні податки і збори</w:t>
            </w:r>
          </w:p>
        </w:tc>
        <w:tc>
          <w:tcPr>
            <w:tcW w:w="6566" w:type="dxa"/>
            <w:gridSpan w:val="4"/>
            <w:tcBorders>
              <w:left w:val="single" w:sz="4" w:space="0" w:color="auto"/>
              <w:right w:val="single" w:sz="4" w:space="0" w:color="auto"/>
            </w:tcBorders>
            <w:vAlign w:val="center"/>
          </w:tcPr>
          <w:p w:rsidR="008864A4" w:rsidRPr="00AE525F" w:rsidRDefault="008864A4" w:rsidP="008864A4">
            <w:pPr>
              <w:jc w:val="center"/>
              <w:rPr>
                <w:rFonts w:ascii="Times New Roman" w:hAnsi="Times New Roman" w:cs="Times New Roman"/>
                <w:b/>
                <w:sz w:val="24"/>
                <w:szCs w:val="24"/>
                <w:lang w:val="uk-UA"/>
              </w:rPr>
            </w:pPr>
            <w:r w:rsidRPr="00AE525F">
              <w:rPr>
                <w:rFonts w:ascii="Times New Roman" w:hAnsi="Times New Roman" w:cs="Times New Roman"/>
                <w:sz w:val="24"/>
                <w:szCs w:val="24"/>
                <w:lang w:val="uk-UA"/>
              </w:rPr>
              <w:t>Доходи бюджетів місцевого самоврядування</w:t>
            </w:r>
          </w:p>
        </w:tc>
        <w:tc>
          <w:tcPr>
            <w:tcW w:w="2126" w:type="dxa"/>
            <w:tcBorders>
              <w:left w:val="single" w:sz="4" w:space="0" w:color="auto"/>
              <w:right w:val="single" w:sz="4" w:space="0" w:color="auto"/>
            </w:tcBorders>
            <w:vAlign w:val="center"/>
          </w:tcPr>
          <w:p w:rsidR="008864A4" w:rsidRPr="00AE525F" w:rsidRDefault="008864A4" w:rsidP="008864A4">
            <w:pPr>
              <w:jc w:val="center"/>
              <w:rPr>
                <w:rFonts w:ascii="Times New Roman" w:hAnsi="Times New Roman" w:cs="Times New Roman"/>
                <w:b/>
                <w:sz w:val="24"/>
                <w:szCs w:val="24"/>
                <w:lang w:val="uk-UA"/>
              </w:rPr>
            </w:pPr>
            <w:r w:rsidRPr="00AE525F">
              <w:rPr>
                <w:rFonts w:ascii="Times New Roman" w:hAnsi="Times New Roman" w:cs="Times New Roman"/>
                <w:sz w:val="24"/>
                <w:szCs w:val="24"/>
                <w:lang w:val="uk-UA"/>
              </w:rPr>
              <w:t>Доходи обласних бюджетів</w:t>
            </w:r>
          </w:p>
        </w:tc>
        <w:tc>
          <w:tcPr>
            <w:tcW w:w="2126" w:type="dxa"/>
            <w:tcBorders>
              <w:left w:val="single" w:sz="4" w:space="0" w:color="auto"/>
            </w:tcBorders>
            <w:vAlign w:val="center"/>
          </w:tcPr>
          <w:p w:rsidR="008864A4" w:rsidRPr="00AE525F" w:rsidRDefault="008864A4" w:rsidP="008864A4">
            <w:pPr>
              <w:jc w:val="center"/>
              <w:rPr>
                <w:rFonts w:ascii="Times New Roman" w:hAnsi="Times New Roman" w:cs="Times New Roman"/>
                <w:b/>
                <w:sz w:val="24"/>
                <w:szCs w:val="24"/>
                <w:lang w:val="uk-UA"/>
              </w:rPr>
            </w:pPr>
            <w:r w:rsidRPr="00AE525F">
              <w:rPr>
                <w:rFonts w:ascii="Times New Roman" w:hAnsi="Times New Roman" w:cs="Times New Roman"/>
                <w:sz w:val="24"/>
                <w:szCs w:val="24"/>
                <w:lang w:val="uk-UA"/>
              </w:rPr>
              <w:t>Доходи районних бюджетів</w:t>
            </w:r>
          </w:p>
        </w:tc>
      </w:tr>
      <w:tr w:rsidR="008864A4" w:rsidRPr="00AE525F" w:rsidTr="00FF5B1F">
        <w:trPr>
          <w:trHeight w:val="505"/>
        </w:trPr>
        <w:tc>
          <w:tcPr>
            <w:tcW w:w="810" w:type="dxa"/>
            <w:vMerge/>
          </w:tcPr>
          <w:p w:rsidR="008864A4" w:rsidRPr="00AE525F" w:rsidRDefault="008864A4" w:rsidP="00FF5B1F">
            <w:pPr>
              <w:jc w:val="center"/>
              <w:rPr>
                <w:rFonts w:ascii="Times New Roman" w:hAnsi="Times New Roman" w:cs="Times New Roman"/>
                <w:sz w:val="24"/>
                <w:szCs w:val="24"/>
                <w:lang w:val="uk-UA"/>
              </w:rPr>
            </w:pPr>
          </w:p>
        </w:tc>
        <w:tc>
          <w:tcPr>
            <w:tcW w:w="3364" w:type="dxa"/>
            <w:vMerge/>
            <w:tcBorders>
              <w:right w:val="single" w:sz="4" w:space="0" w:color="auto"/>
            </w:tcBorders>
          </w:tcPr>
          <w:p w:rsidR="008864A4" w:rsidRPr="00AE525F" w:rsidRDefault="008864A4" w:rsidP="00FF5B1F">
            <w:pPr>
              <w:jc w:val="center"/>
              <w:rPr>
                <w:rFonts w:ascii="Times New Roman" w:hAnsi="Times New Roman" w:cs="Times New Roman"/>
                <w:sz w:val="24"/>
                <w:szCs w:val="24"/>
                <w:lang w:val="uk-UA"/>
              </w:rPr>
            </w:pPr>
          </w:p>
        </w:tc>
        <w:tc>
          <w:tcPr>
            <w:tcW w:w="1532" w:type="dxa"/>
            <w:tcBorders>
              <w:top w:val="single" w:sz="4" w:space="0" w:color="auto"/>
              <w:left w:val="single" w:sz="4" w:space="0" w:color="auto"/>
            </w:tcBorders>
          </w:tcPr>
          <w:p w:rsidR="008864A4" w:rsidRPr="00AE525F" w:rsidRDefault="008864A4"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 xml:space="preserve">місто Київ </w:t>
            </w:r>
          </w:p>
        </w:tc>
        <w:tc>
          <w:tcPr>
            <w:tcW w:w="1687" w:type="dxa"/>
            <w:tcBorders>
              <w:top w:val="single" w:sz="4" w:space="0" w:color="auto"/>
            </w:tcBorders>
          </w:tcPr>
          <w:p w:rsidR="008864A4" w:rsidRPr="00AE525F" w:rsidRDefault="008864A4"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міста обласного значення</w:t>
            </w:r>
          </w:p>
        </w:tc>
        <w:tc>
          <w:tcPr>
            <w:tcW w:w="1552" w:type="dxa"/>
            <w:tcBorders>
              <w:top w:val="single" w:sz="4" w:space="0" w:color="auto"/>
              <w:right w:val="single" w:sz="4" w:space="0" w:color="auto"/>
            </w:tcBorders>
          </w:tcPr>
          <w:p w:rsidR="008864A4" w:rsidRPr="00AE525F" w:rsidRDefault="008864A4"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міста районного</w:t>
            </w:r>
          </w:p>
          <w:p w:rsidR="008864A4" w:rsidRPr="00AE525F" w:rsidRDefault="008864A4"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значення, села, селища</w:t>
            </w:r>
          </w:p>
        </w:tc>
        <w:tc>
          <w:tcPr>
            <w:tcW w:w="1795" w:type="dxa"/>
            <w:tcBorders>
              <w:top w:val="single" w:sz="4" w:space="0" w:color="auto"/>
              <w:right w:val="single" w:sz="4" w:space="0" w:color="auto"/>
            </w:tcBorders>
          </w:tcPr>
          <w:p w:rsidR="008864A4" w:rsidRPr="00AE525F" w:rsidRDefault="008864A4"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об’єднані територіальні громади (ОТГ)</w:t>
            </w:r>
          </w:p>
        </w:tc>
        <w:tc>
          <w:tcPr>
            <w:tcW w:w="2126" w:type="dxa"/>
            <w:tcBorders>
              <w:top w:val="nil"/>
              <w:left w:val="single" w:sz="4" w:space="0" w:color="auto"/>
              <w:right w:val="single" w:sz="4" w:space="0" w:color="auto"/>
            </w:tcBorders>
          </w:tcPr>
          <w:p w:rsidR="008864A4" w:rsidRPr="00AE525F" w:rsidRDefault="008864A4" w:rsidP="00FF5B1F">
            <w:pPr>
              <w:jc w:val="center"/>
              <w:rPr>
                <w:rFonts w:ascii="Times New Roman" w:hAnsi="Times New Roman" w:cs="Times New Roman"/>
                <w:sz w:val="24"/>
                <w:szCs w:val="24"/>
                <w:lang w:val="uk-UA"/>
              </w:rPr>
            </w:pPr>
          </w:p>
        </w:tc>
        <w:tc>
          <w:tcPr>
            <w:tcW w:w="2126" w:type="dxa"/>
            <w:tcBorders>
              <w:top w:val="nil"/>
              <w:left w:val="single" w:sz="4" w:space="0" w:color="auto"/>
            </w:tcBorders>
          </w:tcPr>
          <w:p w:rsidR="008864A4" w:rsidRPr="00AE525F" w:rsidRDefault="008864A4" w:rsidP="00FF5B1F">
            <w:pPr>
              <w:jc w:val="center"/>
              <w:rPr>
                <w:rFonts w:ascii="Times New Roman" w:hAnsi="Times New Roman" w:cs="Times New Roman"/>
                <w:sz w:val="24"/>
                <w:szCs w:val="24"/>
                <w:lang w:val="uk-UA"/>
              </w:rPr>
            </w:pPr>
          </w:p>
        </w:tc>
      </w:tr>
      <w:tr w:rsidR="00BB2431" w:rsidRPr="00AE525F" w:rsidTr="00FF5B1F">
        <w:tc>
          <w:tcPr>
            <w:tcW w:w="810" w:type="dxa"/>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1</w:t>
            </w:r>
          </w:p>
        </w:tc>
        <w:tc>
          <w:tcPr>
            <w:tcW w:w="3364" w:type="dxa"/>
          </w:tcPr>
          <w:p w:rsidR="00BB2431" w:rsidRPr="00AE525F" w:rsidRDefault="00BB2431" w:rsidP="00FF5B1F">
            <w:pPr>
              <w:jc w:val="both"/>
              <w:rPr>
                <w:rFonts w:ascii="Times New Roman" w:hAnsi="Times New Roman" w:cs="Times New Roman"/>
                <w:sz w:val="24"/>
                <w:szCs w:val="24"/>
                <w:lang w:val="uk-UA"/>
              </w:rPr>
            </w:pPr>
            <w:r w:rsidRPr="00AE525F">
              <w:rPr>
                <w:rFonts w:ascii="Times New Roman" w:hAnsi="Times New Roman" w:cs="Times New Roman"/>
                <w:sz w:val="24"/>
                <w:szCs w:val="24"/>
                <w:lang w:val="uk-UA"/>
              </w:rPr>
              <w:t>Податок на доходи фізичних осіб</w:t>
            </w:r>
          </w:p>
        </w:tc>
        <w:tc>
          <w:tcPr>
            <w:tcW w:w="1532" w:type="dxa"/>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40 %</w:t>
            </w:r>
          </w:p>
        </w:tc>
        <w:tc>
          <w:tcPr>
            <w:tcW w:w="1687" w:type="dxa"/>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60 %</w:t>
            </w:r>
          </w:p>
        </w:tc>
        <w:tc>
          <w:tcPr>
            <w:tcW w:w="1552" w:type="dxa"/>
            <w:tcBorders>
              <w:right w:val="single" w:sz="4" w:space="0" w:color="auto"/>
            </w:tcBorders>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 xml:space="preserve"> –</w:t>
            </w:r>
          </w:p>
        </w:tc>
        <w:tc>
          <w:tcPr>
            <w:tcW w:w="1795" w:type="dxa"/>
            <w:tcBorders>
              <w:left w:val="single" w:sz="4" w:space="0" w:color="auto"/>
            </w:tcBorders>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60 %</w:t>
            </w:r>
          </w:p>
        </w:tc>
        <w:tc>
          <w:tcPr>
            <w:tcW w:w="2126" w:type="dxa"/>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15 %</w:t>
            </w:r>
          </w:p>
        </w:tc>
        <w:tc>
          <w:tcPr>
            <w:tcW w:w="2126" w:type="dxa"/>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60 %</w:t>
            </w:r>
          </w:p>
        </w:tc>
      </w:tr>
      <w:tr w:rsidR="00BB2431" w:rsidRPr="00AE525F" w:rsidTr="00FF5B1F">
        <w:tc>
          <w:tcPr>
            <w:tcW w:w="810" w:type="dxa"/>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2</w:t>
            </w:r>
          </w:p>
        </w:tc>
        <w:tc>
          <w:tcPr>
            <w:tcW w:w="3364" w:type="dxa"/>
          </w:tcPr>
          <w:p w:rsidR="00BB2431" w:rsidRPr="00AE525F" w:rsidRDefault="00BB2431" w:rsidP="00FF5B1F">
            <w:pPr>
              <w:jc w:val="both"/>
              <w:rPr>
                <w:rFonts w:ascii="Times New Roman" w:hAnsi="Times New Roman" w:cs="Times New Roman"/>
                <w:sz w:val="24"/>
                <w:szCs w:val="24"/>
                <w:lang w:val="uk-UA"/>
              </w:rPr>
            </w:pPr>
            <w:r w:rsidRPr="00AE525F">
              <w:rPr>
                <w:rFonts w:ascii="Times New Roman" w:hAnsi="Times New Roman" w:cs="Times New Roman"/>
                <w:sz w:val="24"/>
                <w:szCs w:val="24"/>
                <w:lang w:val="uk-UA"/>
              </w:rPr>
              <w:t>Податок на прибуток підприємств реального сектору економіки</w:t>
            </w:r>
          </w:p>
        </w:tc>
        <w:tc>
          <w:tcPr>
            <w:tcW w:w="1532" w:type="dxa"/>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w:t>
            </w:r>
          </w:p>
        </w:tc>
        <w:tc>
          <w:tcPr>
            <w:tcW w:w="1687" w:type="dxa"/>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w:t>
            </w:r>
          </w:p>
        </w:tc>
        <w:tc>
          <w:tcPr>
            <w:tcW w:w="1552" w:type="dxa"/>
            <w:tcBorders>
              <w:right w:val="single" w:sz="4" w:space="0" w:color="auto"/>
            </w:tcBorders>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w:t>
            </w:r>
          </w:p>
        </w:tc>
        <w:tc>
          <w:tcPr>
            <w:tcW w:w="1795" w:type="dxa"/>
            <w:tcBorders>
              <w:left w:val="single" w:sz="4" w:space="0" w:color="auto"/>
            </w:tcBorders>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w:t>
            </w:r>
          </w:p>
        </w:tc>
        <w:tc>
          <w:tcPr>
            <w:tcW w:w="2126" w:type="dxa"/>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10 %</w:t>
            </w:r>
          </w:p>
        </w:tc>
        <w:tc>
          <w:tcPr>
            <w:tcW w:w="2126" w:type="dxa"/>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w:t>
            </w:r>
          </w:p>
        </w:tc>
      </w:tr>
      <w:tr w:rsidR="00BB2431" w:rsidRPr="00AE525F" w:rsidTr="00FF5B1F">
        <w:tc>
          <w:tcPr>
            <w:tcW w:w="810" w:type="dxa"/>
          </w:tcPr>
          <w:p w:rsidR="00BB2431" w:rsidRPr="00AE525F" w:rsidRDefault="00BB2431" w:rsidP="00FF5B1F">
            <w:pPr>
              <w:jc w:val="center"/>
              <w:rPr>
                <w:rFonts w:ascii="Times New Roman" w:hAnsi="Times New Roman" w:cs="Times New Roman"/>
                <w:sz w:val="24"/>
                <w:szCs w:val="24"/>
                <w:lang w:val="uk-UA"/>
              </w:rPr>
            </w:pPr>
          </w:p>
        </w:tc>
        <w:tc>
          <w:tcPr>
            <w:tcW w:w="3364" w:type="dxa"/>
          </w:tcPr>
          <w:p w:rsidR="00BB2431" w:rsidRPr="00AE525F" w:rsidRDefault="00BB2431" w:rsidP="00FF5B1F">
            <w:pPr>
              <w:jc w:val="both"/>
              <w:rPr>
                <w:rFonts w:ascii="Times New Roman" w:hAnsi="Times New Roman" w:cs="Times New Roman"/>
                <w:sz w:val="24"/>
                <w:szCs w:val="24"/>
                <w:lang w:val="uk-UA"/>
              </w:rPr>
            </w:pPr>
            <w:r w:rsidRPr="00AE525F">
              <w:rPr>
                <w:rFonts w:ascii="Times New Roman" w:hAnsi="Times New Roman" w:cs="Times New Roman"/>
                <w:sz w:val="24"/>
                <w:szCs w:val="24"/>
                <w:lang w:val="uk-UA"/>
              </w:rPr>
              <w:t>Податок на прибуток підприємств та фінансових установ комунальної власності</w:t>
            </w:r>
          </w:p>
        </w:tc>
        <w:tc>
          <w:tcPr>
            <w:tcW w:w="1532" w:type="dxa"/>
          </w:tcPr>
          <w:p w:rsidR="00BB2431" w:rsidRPr="00AE525F" w:rsidRDefault="00BB2431" w:rsidP="00FF5B1F">
            <w:pPr>
              <w:jc w:val="center"/>
              <w:rPr>
                <w:rFonts w:ascii="Times New Roman" w:hAnsi="Times New Roman" w:cs="Times New Roman"/>
                <w:sz w:val="24"/>
                <w:szCs w:val="24"/>
                <w:lang w:val="uk-UA"/>
              </w:rPr>
            </w:pPr>
          </w:p>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100 %</w:t>
            </w:r>
          </w:p>
        </w:tc>
        <w:tc>
          <w:tcPr>
            <w:tcW w:w="1687" w:type="dxa"/>
          </w:tcPr>
          <w:p w:rsidR="00BB2431" w:rsidRPr="00AE525F" w:rsidRDefault="00BB2431" w:rsidP="00FF5B1F">
            <w:pPr>
              <w:jc w:val="center"/>
              <w:rPr>
                <w:rFonts w:ascii="Times New Roman" w:hAnsi="Times New Roman" w:cs="Times New Roman"/>
                <w:sz w:val="24"/>
                <w:szCs w:val="24"/>
                <w:lang w:val="uk-UA"/>
              </w:rPr>
            </w:pPr>
          </w:p>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100 %</w:t>
            </w:r>
          </w:p>
        </w:tc>
        <w:tc>
          <w:tcPr>
            <w:tcW w:w="1552" w:type="dxa"/>
            <w:tcBorders>
              <w:right w:val="single" w:sz="4" w:space="0" w:color="auto"/>
            </w:tcBorders>
          </w:tcPr>
          <w:p w:rsidR="00BB2431" w:rsidRPr="00AE525F" w:rsidRDefault="00BB2431" w:rsidP="00FF5B1F">
            <w:pPr>
              <w:jc w:val="center"/>
              <w:rPr>
                <w:rFonts w:ascii="Times New Roman" w:hAnsi="Times New Roman" w:cs="Times New Roman"/>
                <w:sz w:val="24"/>
                <w:szCs w:val="24"/>
                <w:lang w:val="uk-UA"/>
              </w:rPr>
            </w:pPr>
          </w:p>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100 %</w:t>
            </w:r>
          </w:p>
        </w:tc>
        <w:tc>
          <w:tcPr>
            <w:tcW w:w="1795" w:type="dxa"/>
            <w:tcBorders>
              <w:left w:val="single" w:sz="4" w:space="0" w:color="auto"/>
            </w:tcBorders>
          </w:tcPr>
          <w:p w:rsidR="00BB2431" w:rsidRPr="00AE525F" w:rsidRDefault="00BB2431" w:rsidP="00FF5B1F">
            <w:pPr>
              <w:jc w:val="center"/>
              <w:rPr>
                <w:rFonts w:ascii="Times New Roman" w:hAnsi="Times New Roman" w:cs="Times New Roman"/>
                <w:sz w:val="24"/>
                <w:szCs w:val="24"/>
                <w:lang w:val="uk-UA"/>
              </w:rPr>
            </w:pPr>
          </w:p>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100 %</w:t>
            </w:r>
          </w:p>
        </w:tc>
        <w:tc>
          <w:tcPr>
            <w:tcW w:w="2126" w:type="dxa"/>
          </w:tcPr>
          <w:p w:rsidR="00BB2431" w:rsidRPr="00AE525F" w:rsidRDefault="00BB2431" w:rsidP="00FF5B1F">
            <w:pPr>
              <w:jc w:val="center"/>
              <w:rPr>
                <w:rFonts w:ascii="Times New Roman" w:hAnsi="Times New Roman" w:cs="Times New Roman"/>
                <w:sz w:val="24"/>
                <w:szCs w:val="24"/>
                <w:lang w:val="uk-UA"/>
              </w:rPr>
            </w:pPr>
          </w:p>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100 %</w:t>
            </w:r>
          </w:p>
        </w:tc>
        <w:tc>
          <w:tcPr>
            <w:tcW w:w="2126" w:type="dxa"/>
          </w:tcPr>
          <w:p w:rsidR="00BB2431" w:rsidRPr="00AE525F" w:rsidRDefault="00BB2431" w:rsidP="00FF5B1F">
            <w:pPr>
              <w:jc w:val="center"/>
              <w:rPr>
                <w:rFonts w:ascii="Times New Roman" w:hAnsi="Times New Roman" w:cs="Times New Roman"/>
                <w:sz w:val="24"/>
                <w:szCs w:val="24"/>
                <w:lang w:val="uk-UA"/>
              </w:rPr>
            </w:pPr>
          </w:p>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100 %</w:t>
            </w:r>
          </w:p>
        </w:tc>
      </w:tr>
      <w:tr w:rsidR="00BB2431" w:rsidRPr="00AE525F" w:rsidTr="00FF5B1F">
        <w:tc>
          <w:tcPr>
            <w:tcW w:w="810" w:type="dxa"/>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3</w:t>
            </w:r>
          </w:p>
        </w:tc>
        <w:tc>
          <w:tcPr>
            <w:tcW w:w="3364" w:type="dxa"/>
          </w:tcPr>
          <w:p w:rsidR="00BB2431" w:rsidRPr="00AE525F" w:rsidRDefault="00BB2431" w:rsidP="00FF5B1F">
            <w:pPr>
              <w:jc w:val="both"/>
              <w:rPr>
                <w:rFonts w:ascii="Times New Roman" w:hAnsi="Times New Roman" w:cs="Times New Roman"/>
                <w:sz w:val="24"/>
                <w:szCs w:val="24"/>
                <w:lang w:val="uk-UA"/>
              </w:rPr>
            </w:pPr>
            <w:r w:rsidRPr="00AE525F">
              <w:rPr>
                <w:rFonts w:ascii="Times New Roman" w:hAnsi="Times New Roman" w:cs="Times New Roman"/>
                <w:sz w:val="24"/>
                <w:szCs w:val="24"/>
                <w:lang w:val="uk-UA"/>
              </w:rPr>
              <w:t>Акцизний податок з реалізації суб’єктами господарювання роздрібної торгівлі підакцизних товарів</w:t>
            </w:r>
          </w:p>
        </w:tc>
        <w:tc>
          <w:tcPr>
            <w:tcW w:w="1532" w:type="dxa"/>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5 %</w:t>
            </w:r>
          </w:p>
        </w:tc>
        <w:tc>
          <w:tcPr>
            <w:tcW w:w="1687" w:type="dxa"/>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5 %</w:t>
            </w:r>
          </w:p>
        </w:tc>
        <w:tc>
          <w:tcPr>
            <w:tcW w:w="1552" w:type="dxa"/>
            <w:tcBorders>
              <w:right w:val="single" w:sz="4" w:space="0" w:color="auto"/>
            </w:tcBorders>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5 %</w:t>
            </w:r>
          </w:p>
        </w:tc>
        <w:tc>
          <w:tcPr>
            <w:tcW w:w="1795" w:type="dxa"/>
            <w:tcBorders>
              <w:left w:val="single" w:sz="4" w:space="0" w:color="auto"/>
            </w:tcBorders>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5 %</w:t>
            </w:r>
          </w:p>
        </w:tc>
        <w:tc>
          <w:tcPr>
            <w:tcW w:w="2126" w:type="dxa"/>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5 %</w:t>
            </w:r>
          </w:p>
        </w:tc>
        <w:tc>
          <w:tcPr>
            <w:tcW w:w="2126" w:type="dxa"/>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w:t>
            </w:r>
          </w:p>
        </w:tc>
      </w:tr>
      <w:tr w:rsidR="00BB2431" w:rsidRPr="00AE525F" w:rsidTr="00FF5B1F">
        <w:tc>
          <w:tcPr>
            <w:tcW w:w="810" w:type="dxa"/>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4</w:t>
            </w:r>
          </w:p>
        </w:tc>
        <w:tc>
          <w:tcPr>
            <w:tcW w:w="3364" w:type="dxa"/>
          </w:tcPr>
          <w:p w:rsidR="00BB2431" w:rsidRPr="00AE525F" w:rsidRDefault="00BB2431" w:rsidP="00FF5B1F">
            <w:pPr>
              <w:jc w:val="both"/>
              <w:rPr>
                <w:rFonts w:ascii="Times New Roman" w:hAnsi="Times New Roman" w:cs="Times New Roman"/>
                <w:sz w:val="24"/>
                <w:szCs w:val="24"/>
                <w:lang w:val="uk-UA"/>
              </w:rPr>
            </w:pPr>
            <w:r w:rsidRPr="00AE525F">
              <w:rPr>
                <w:rFonts w:ascii="Times New Roman" w:hAnsi="Times New Roman" w:cs="Times New Roman"/>
                <w:sz w:val="24"/>
                <w:szCs w:val="24"/>
                <w:lang w:val="uk-UA"/>
              </w:rPr>
              <w:t>Рентна плата:</w:t>
            </w:r>
          </w:p>
          <w:p w:rsidR="00BB2431" w:rsidRPr="00AE525F" w:rsidRDefault="00BB2431" w:rsidP="00FF5B1F">
            <w:pPr>
              <w:jc w:val="both"/>
              <w:rPr>
                <w:rFonts w:ascii="Times New Roman" w:hAnsi="Times New Roman" w:cs="Times New Roman"/>
                <w:i/>
                <w:sz w:val="24"/>
                <w:szCs w:val="24"/>
                <w:lang w:val="uk-UA"/>
              </w:rPr>
            </w:pPr>
            <w:r w:rsidRPr="00AE525F">
              <w:rPr>
                <w:rFonts w:ascii="Times New Roman" w:hAnsi="Times New Roman" w:cs="Times New Roman"/>
                <w:i/>
                <w:sz w:val="24"/>
                <w:szCs w:val="24"/>
                <w:lang w:val="uk-UA"/>
              </w:rPr>
              <w:t>– за спеціальне використання лісових ресурсів;</w:t>
            </w:r>
          </w:p>
          <w:p w:rsidR="00BB2431" w:rsidRPr="00AE525F" w:rsidRDefault="00BB2431" w:rsidP="00FF5B1F">
            <w:pPr>
              <w:jc w:val="both"/>
              <w:rPr>
                <w:rFonts w:ascii="Times New Roman" w:hAnsi="Times New Roman" w:cs="Times New Roman"/>
                <w:i/>
                <w:sz w:val="24"/>
                <w:szCs w:val="24"/>
                <w:lang w:val="uk-UA"/>
              </w:rPr>
            </w:pPr>
            <w:r w:rsidRPr="00AE525F">
              <w:rPr>
                <w:rFonts w:ascii="Times New Roman" w:hAnsi="Times New Roman" w:cs="Times New Roman"/>
                <w:i/>
                <w:sz w:val="24"/>
                <w:szCs w:val="24"/>
                <w:lang w:val="uk-UA"/>
              </w:rPr>
              <w:t>– за спеціальне використання води;</w:t>
            </w:r>
          </w:p>
          <w:p w:rsidR="00BB2431" w:rsidRPr="00AE525F" w:rsidRDefault="00BB2431" w:rsidP="00FF5B1F">
            <w:pPr>
              <w:jc w:val="both"/>
              <w:rPr>
                <w:rFonts w:ascii="Times New Roman" w:hAnsi="Times New Roman" w:cs="Times New Roman"/>
                <w:sz w:val="24"/>
                <w:szCs w:val="24"/>
                <w:lang w:val="uk-UA"/>
              </w:rPr>
            </w:pPr>
            <w:r w:rsidRPr="00AE525F">
              <w:rPr>
                <w:rFonts w:ascii="Times New Roman" w:hAnsi="Times New Roman" w:cs="Times New Roman"/>
                <w:i/>
                <w:sz w:val="24"/>
                <w:szCs w:val="24"/>
                <w:lang w:val="uk-UA"/>
              </w:rPr>
              <w:t>– за користування надрами</w:t>
            </w:r>
          </w:p>
        </w:tc>
        <w:tc>
          <w:tcPr>
            <w:tcW w:w="1532" w:type="dxa"/>
          </w:tcPr>
          <w:p w:rsidR="00BB2431" w:rsidRPr="00AE525F" w:rsidRDefault="00BB2431" w:rsidP="00FF5B1F">
            <w:pPr>
              <w:jc w:val="center"/>
              <w:rPr>
                <w:rFonts w:ascii="Times New Roman" w:hAnsi="Times New Roman" w:cs="Times New Roman"/>
                <w:sz w:val="24"/>
                <w:szCs w:val="24"/>
                <w:lang w:val="uk-UA"/>
              </w:rPr>
            </w:pPr>
          </w:p>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50 %</w:t>
            </w:r>
          </w:p>
          <w:p w:rsidR="00BB2431" w:rsidRPr="00AE525F" w:rsidRDefault="00BB2431" w:rsidP="00FF5B1F">
            <w:pPr>
              <w:jc w:val="center"/>
              <w:rPr>
                <w:rFonts w:ascii="Times New Roman" w:hAnsi="Times New Roman" w:cs="Times New Roman"/>
                <w:sz w:val="24"/>
                <w:szCs w:val="24"/>
                <w:lang w:val="uk-UA"/>
              </w:rPr>
            </w:pPr>
          </w:p>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45 %</w:t>
            </w:r>
          </w:p>
          <w:p w:rsidR="00BB2431" w:rsidRPr="00AE525F" w:rsidRDefault="00BB2431" w:rsidP="00FF5B1F">
            <w:pPr>
              <w:jc w:val="center"/>
              <w:rPr>
                <w:rFonts w:ascii="Times New Roman" w:hAnsi="Times New Roman" w:cs="Times New Roman"/>
                <w:sz w:val="24"/>
                <w:szCs w:val="24"/>
                <w:lang w:val="uk-UA"/>
              </w:rPr>
            </w:pPr>
          </w:p>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25 %</w:t>
            </w:r>
          </w:p>
        </w:tc>
        <w:tc>
          <w:tcPr>
            <w:tcW w:w="1687" w:type="dxa"/>
          </w:tcPr>
          <w:p w:rsidR="00BB2431" w:rsidRPr="00AE525F" w:rsidRDefault="00BB2431" w:rsidP="00FF5B1F">
            <w:pPr>
              <w:jc w:val="center"/>
              <w:rPr>
                <w:rFonts w:ascii="Times New Roman" w:hAnsi="Times New Roman" w:cs="Times New Roman"/>
                <w:sz w:val="24"/>
                <w:szCs w:val="24"/>
                <w:lang w:val="uk-UA"/>
              </w:rPr>
            </w:pPr>
          </w:p>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w:t>
            </w:r>
          </w:p>
          <w:p w:rsidR="00BB2431" w:rsidRPr="00AE525F" w:rsidRDefault="00BB2431" w:rsidP="00FF5B1F">
            <w:pPr>
              <w:jc w:val="center"/>
              <w:rPr>
                <w:rFonts w:ascii="Times New Roman" w:hAnsi="Times New Roman" w:cs="Times New Roman"/>
                <w:sz w:val="24"/>
                <w:szCs w:val="24"/>
                <w:lang w:val="uk-UA"/>
              </w:rPr>
            </w:pPr>
          </w:p>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w:t>
            </w:r>
          </w:p>
          <w:p w:rsidR="00BB2431" w:rsidRPr="00AE525F" w:rsidRDefault="00BB2431" w:rsidP="00FF5B1F">
            <w:pPr>
              <w:jc w:val="center"/>
              <w:rPr>
                <w:rFonts w:ascii="Times New Roman" w:hAnsi="Times New Roman" w:cs="Times New Roman"/>
                <w:sz w:val="24"/>
                <w:szCs w:val="24"/>
                <w:lang w:val="uk-UA"/>
              </w:rPr>
            </w:pPr>
          </w:p>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3 %</w:t>
            </w:r>
          </w:p>
        </w:tc>
        <w:tc>
          <w:tcPr>
            <w:tcW w:w="1552" w:type="dxa"/>
            <w:tcBorders>
              <w:right w:val="single" w:sz="4" w:space="0" w:color="auto"/>
            </w:tcBorders>
          </w:tcPr>
          <w:p w:rsidR="00BB2431" w:rsidRPr="00AE525F" w:rsidRDefault="00BB2431" w:rsidP="00FF5B1F">
            <w:pPr>
              <w:jc w:val="center"/>
              <w:rPr>
                <w:rFonts w:ascii="Times New Roman" w:hAnsi="Times New Roman" w:cs="Times New Roman"/>
                <w:sz w:val="24"/>
                <w:szCs w:val="24"/>
                <w:lang w:val="uk-UA"/>
              </w:rPr>
            </w:pPr>
          </w:p>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w:t>
            </w:r>
          </w:p>
          <w:p w:rsidR="00BB2431" w:rsidRPr="00AE525F" w:rsidRDefault="00BB2431" w:rsidP="00FF5B1F">
            <w:pPr>
              <w:jc w:val="center"/>
              <w:rPr>
                <w:rFonts w:ascii="Times New Roman" w:hAnsi="Times New Roman" w:cs="Times New Roman"/>
                <w:sz w:val="24"/>
                <w:szCs w:val="24"/>
                <w:lang w:val="uk-UA"/>
              </w:rPr>
            </w:pPr>
          </w:p>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w:t>
            </w:r>
          </w:p>
          <w:p w:rsidR="00BB2431" w:rsidRPr="00AE525F" w:rsidRDefault="00BB2431" w:rsidP="00FF5B1F">
            <w:pPr>
              <w:jc w:val="center"/>
              <w:rPr>
                <w:rFonts w:ascii="Times New Roman" w:hAnsi="Times New Roman" w:cs="Times New Roman"/>
                <w:sz w:val="24"/>
                <w:szCs w:val="24"/>
                <w:lang w:val="uk-UA"/>
              </w:rPr>
            </w:pPr>
          </w:p>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w:t>
            </w:r>
          </w:p>
        </w:tc>
        <w:tc>
          <w:tcPr>
            <w:tcW w:w="1795" w:type="dxa"/>
            <w:tcBorders>
              <w:left w:val="single" w:sz="4" w:space="0" w:color="auto"/>
            </w:tcBorders>
          </w:tcPr>
          <w:p w:rsidR="00BB2431" w:rsidRPr="00AE525F" w:rsidRDefault="00BB2431" w:rsidP="00FF5B1F">
            <w:pPr>
              <w:jc w:val="center"/>
              <w:rPr>
                <w:rFonts w:ascii="Times New Roman" w:hAnsi="Times New Roman" w:cs="Times New Roman"/>
                <w:sz w:val="24"/>
                <w:szCs w:val="24"/>
                <w:lang w:val="uk-UA"/>
              </w:rPr>
            </w:pPr>
          </w:p>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w:t>
            </w:r>
          </w:p>
          <w:p w:rsidR="00BB2431" w:rsidRPr="00AE525F" w:rsidRDefault="00BB2431" w:rsidP="00FF5B1F">
            <w:pPr>
              <w:jc w:val="center"/>
              <w:rPr>
                <w:rFonts w:ascii="Times New Roman" w:hAnsi="Times New Roman" w:cs="Times New Roman"/>
                <w:sz w:val="24"/>
                <w:szCs w:val="24"/>
                <w:lang w:val="uk-UA"/>
              </w:rPr>
            </w:pPr>
          </w:p>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w:t>
            </w:r>
          </w:p>
          <w:p w:rsidR="00BB2431" w:rsidRPr="00AE525F" w:rsidRDefault="00BB2431" w:rsidP="00FF5B1F">
            <w:pPr>
              <w:jc w:val="center"/>
              <w:rPr>
                <w:rFonts w:ascii="Times New Roman" w:hAnsi="Times New Roman" w:cs="Times New Roman"/>
                <w:sz w:val="24"/>
                <w:szCs w:val="24"/>
                <w:lang w:val="uk-UA"/>
              </w:rPr>
            </w:pPr>
          </w:p>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3 %</w:t>
            </w:r>
          </w:p>
        </w:tc>
        <w:tc>
          <w:tcPr>
            <w:tcW w:w="2126" w:type="dxa"/>
          </w:tcPr>
          <w:p w:rsidR="00BB2431" w:rsidRPr="00AE525F" w:rsidRDefault="00BB2431" w:rsidP="00FF5B1F">
            <w:pPr>
              <w:jc w:val="center"/>
              <w:rPr>
                <w:rFonts w:ascii="Times New Roman" w:hAnsi="Times New Roman" w:cs="Times New Roman"/>
                <w:sz w:val="24"/>
                <w:szCs w:val="24"/>
                <w:lang w:val="uk-UA"/>
              </w:rPr>
            </w:pPr>
          </w:p>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50 %</w:t>
            </w:r>
          </w:p>
          <w:p w:rsidR="00BB2431" w:rsidRPr="00AE525F" w:rsidRDefault="00BB2431" w:rsidP="00FF5B1F">
            <w:pPr>
              <w:jc w:val="center"/>
              <w:rPr>
                <w:rFonts w:ascii="Times New Roman" w:hAnsi="Times New Roman" w:cs="Times New Roman"/>
                <w:sz w:val="24"/>
                <w:szCs w:val="24"/>
                <w:lang w:val="uk-UA"/>
              </w:rPr>
            </w:pPr>
          </w:p>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45 %</w:t>
            </w:r>
          </w:p>
          <w:p w:rsidR="00BB2431" w:rsidRPr="00AE525F" w:rsidRDefault="00BB2431" w:rsidP="00FF5B1F">
            <w:pPr>
              <w:jc w:val="center"/>
              <w:rPr>
                <w:rFonts w:ascii="Times New Roman" w:hAnsi="Times New Roman" w:cs="Times New Roman"/>
                <w:sz w:val="24"/>
                <w:szCs w:val="24"/>
                <w:lang w:val="uk-UA"/>
              </w:rPr>
            </w:pPr>
          </w:p>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25 %</w:t>
            </w:r>
          </w:p>
        </w:tc>
        <w:tc>
          <w:tcPr>
            <w:tcW w:w="2126" w:type="dxa"/>
          </w:tcPr>
          <w:p w:rsidR="00BB2431" w:rsidRPr="00AE525F" w:rsidRDefault="00BB2431" w:rsidP="00FF5B1F">
            <w:pPr>
              <w:jc w:val="center"/>
              <w:rPr>
                <w:rFonts w:ascii="Times New Roman" w:hAnsi="Times New Roman" w:cs="Times New Roman"/>
                <w:sz w:val="24"/>
                <w:szCs w:val="24"/>
                <w:lang w:val="uk-UA"/>
              </w:rPr>
            </w:pPr>
          </w:p>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w:t>
            </w:r>
          </w:p>
          <w:p w:rsidR="00BB2431" w:rsidRPr="00AE525F" w:rsidRDefault="00BB2431" w:rsidP="00FF5B1F">
            <w:pPr>
              <w:jc w:val="center"/>
              <w:rPr>
                <w:rFonts w:ascii="Times New Roman" w:hAnsi="Times New Roman" w:cs="Times New Roman"/>
                <w:sz w:val="24"/>
                <w:szCs w:val="24"/>
                <w:lang w:val="uk-UA"/>
              </w:rPr>
            </w:pPr>
          </w:p>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w:t>
            </w:r>
          </w:p>
          <w:p w:rsidR="00BB2431" w:rsidRPr="00AE525F" w:rsidRDefault="00BB2431" w:rsidP="00FF5B1F">
            <w:pPr>
              <w:jc w:val="center"/>
              <w:rPr>
                <w:rFonts w:ascii="Times New Roman" w:hAnsi="Times New Roman" w:cs="Times New Roman"/>
                <w:sz w:val="24"/>
                <w:szCs w:val="24"/>
                <w:lang w:val="uk-UA"/>
              </w:rPr>
            </w:pPr>
          </w:p>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2 %</w:t>
            </w:r>
          </w:p>
        </w:tc>
      </w:tr>
      <w:tr w:rsidR="00BB2431" w:rsidRPr="00AE525F" w:rsidTr="00FF5B1F">
        <w:tc>
          <w:tcPr>
            <w:tcW w:w="810" w:type="dxa"/>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5</w:t>
            </w:r>
          </w:p>
        </w:tc>
        <w:tc>
          <w:tcPr>
            <w:tcW w:w="3364" w:type="dxa"/>
          </w:tcPr>
          <w:p w:rsidR="00BB2431" w:rsidRPr="00AE525F" w:rsidRDefault="00BB2431" w:rsidP="00FF5B1F">
            <w:pPr>
              <w:jc w:val="both"/>
              <w:rPr>
                <w:rFonts w:ascii="Times New Roman" w:hAnsi="Times New Roman" w:cs="Times New Roman"/>
                <w:sz w:val="24"/>
                <w:szCs w:val="24"/>
                <w:lang w:val="uk-UA"/>
              </w:rPr>
            </w:pPr>
            <w:r w:rsidRPr="00AE525F">
              <w:rPr>
                <w:rFonts w:ascii="Times New Roman" w:hAnsi="Times New Roman" w:cs="Times New Roman"/>
                <w:sz w:val="24"/>
                <w:szCs w:val="24"/>
                <w:lang w:val="uk-UA"/>
              </w:rPr>
              <w:t>Екологічний податок</w:t>
            </w:r>
          </w:p>
        </w:tc>
        <w:tc>
          <w:tcPr>
            <w:tcW w:w="1532" w:type="dxa"/>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25 %</w:t>
            </w:r>
          </w:p>
        </w:tc>
        <w:tc>
          <w:tcPr>
            <w:tcW w:w="1687" w:type="dxa"/>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25 %</w:t>
            </w:r>
          </w:p>
        </w:tc>
        <w:tc>
          <w:tcPr>
            <w:tcW w:w="1552" w:type="dxa"/>
            <w:tcBorders>
              <w:right w:val="single" w:sz="4" w:space="0" w:color="auto"/>
            </w:tcBorders>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25 %</w:t>
            </w:r>
          </w:p>
        </w:tc>
        <w:tc>
          <w:tcPr>
            <w:tcW w:w="1795" w:type="dxa"/>
            <w:tcBorders>
              <w:left w:val="single" w:sz="4" w:space="0" w:color="auto"/>
            </w:tcBorders>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25 %</w:t>
            </w:r>
          </w:p>
        </w:tc>
        <w:tc>
          <w:tcPr>
            <w:tcW w:w="2126" w:type="dxa"/>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55 %</w:t>
            </w:r>
          </w:p>
        </w:tc>
        <w:tc>
          <w:tcPr>
            <w:tcW w:w="2126" w:type="dxa"/>
          </w:tcPr>
          <w:p w:rsidR="00BB2431" w:rsidRPr="00AE525F" w:rsidRDefault="00BB2431" w:rsidP="00FF5B1F">
            <w:pPr>
              <w:jc w:val="center"/>
              <w:rPr>
                <w:rFonts w:ascii="Times New Roman" w:hAnsi="Times New Roman" w:cs="Times New Roman"/>
                <w:sz w:val="24"/>
                <w:szCs w:val="24"/>
                <w:lang w:val="uk-UA"/>
              </w:rPr>
            </w:pPr>
            <w:r w:rsidRPr="00AE525F">
              <w:rPr>
                <w:rFonts w:ascii="Times New Roman" w:hAnsi="Times New Roman" w:cs="Times New Roman"/>
                <w:sz w:val="24"/>
                <w:szCs w:val="24"/>
                <w:lang w:val="uk-UA"/>
              </w:rPr>
              <w:t>–</w:t>
            </w:r>
          </w:p>
        </w:tc>
      </w:tr>
    </w:tbl>
    <w:p w:rsidR="009555FE" w:rsidRPr="00AE525F" w:rsidRDefault="009555FE" w:rsidP="009555FE">
      <w:pPr>
        <w:spacing w:after="0" w:line="240" w:lineRule="auto"/>
        <w:jc w:val="both"/>
        <w:rPr>
          <w:rFonts w:ascii="Times New Roman" w:hAnsi="Times New Roman" w:cs="Times New Roman"/>
          <w:sz w:val="24"/>
          <w:szCs w:val="24"/>
          <w:lang w:val="uk-UA"/>
        </w:rPr>
      </w:pPr>
      <w:r w:rsidRPr="00AE525F">
        <w:rPr>
          <w:rFonts w:ascii="Times New Roman" w:hAnsi="Times New Roman" w:cs="Times New Roman"/>
          <w:sz w:val="24"/>
          <w:szCs w:val="24"/>
          <w:lang w:val="uk-UA"/>
        </w:rPr>
        <w:t>– податкові платежі не поступають</w:t>
      </w:r>
    </w:p>
    <w:p w:rsidR="00BB2431" w:rsidRPr="00AE525F" w:rsidRDefault="009555FE" w:rsidP="00BB2431">
      <w:pPr>
        <w:spacing w:after="0" w:line="240" w:lineRule="auto"/>
        <w:jc w:val="both"/>
        <w:rPr>
          <w:rFonts w:ascii="Times New Roman" w:hAnsi="Times New Roman" w:cs="Times New Roman"/>
          <w:i/>
          <w:sz w:val="24"/>
          <w:szCs w:val="24"/>
          <w:lang w:val="uk-UA"/>
        </w:rPr>
      </w:pPr>
      <w:r w:rsidRPr="00AE525F">
        <w:rPr>
          <w:rFonts w:ascii="Times New Roman" w:hAnsi="Times New Roman" w:cs="Times New Roman"/>
          <w:i/>
          <w:sz w:val="24"/>
          <w:szCs w:val="24"/>
          <w:lang w:val="uk-UA"/>
        </w:rPr>
        <w:t>Джерело:</w:t>
      </w:r>
      <w:r w:rsidR="00BB2431" w:rsidRPr="00AE525F">
        <w:rPr>
          <w:rFonts w:ascii="Times New Roman" w:hAnsi="Times New Roman" w:cs="Times New Roman"/>
          <w:i/>
          <w:sz w:val="24"/>
          <w:szCs w:val="24"/>
          <w:lang w:val="uk-UA"/>
        </w:rPr>
        <w:t xml:space="preserve"> складено автор</w:t>
      </w:r>
      <w:r w:rsidRPr="00AE525F">
        <w:rPr>
          <w:rFonts w:ascii="Times New Roman" w:hAnsi="Times New Roman" w:cs="Times New Roman"/>
          <w:i/>
          <w:sz w:val="24"/>
          <w:szCs w:val="24"/>
          <w:lang w:val="uk-UA"/>
        </w:rPr>
        <w:t>ами</w:t>
      </w:r>
      <w:r w:rsidR="00BB2431" w:rsidRPr="00AE525F">
        <w:rPr>
          <w:rFonts w:ascii="Times New Roman" w:hAnsi="Times New Roman" w:cs="Times New Roman"/>
          <w:i/>
          <w:sz w:val="24"/>
          <w:szCs w:val="24"/>
          <w:lang w:val="uk-UA"/>
        </w:rPr>
        <w:t xml:space="preserve"> за даними Податкового кодексу України [</w:t>
      </w:r>
      <w:r w:rsidR="00AD44AB" w:rsidRPr="00AE525F">
        <w:rPr>
          <w:rFonts w:ascii="Times New Roman" w:hAnsi="Times New Roman" w:cs="Times New Roman"/>
          <w:i/>
          <w:sz w:val="24"/>
          <w:szCs w:val="24"/>
          <w:lang w:val="uk-UA"/>
        </w:rPr>
        <w:t>8</w:t>
      </w:r>
      <w:r w:rsidR="00BB2431" w:rsidRPr="00AE525F">
        <w:rPr>
          <w:rFonts w:ascii="Times New Roman" w:hAnsi="Times New Roman" w:cs="Times New Roman"/>
          <w:i/>
          <w:sz w:val="24"/>
          <w:szCs w:val="24"/>
          <w:lang w:val="uk-UA"/>
        </w:rPr>
        <w:t>] та Бюджетного кодексу України [</w:t>
      </w:r>
      <w:r w:rsidR="00AD44AB" w:rsidRPr="00AE525F">
        <w:rPr>
          <w:rFonts w:ascii="Times New Roman" w:hAnsi="Times New Roman" w:cs="Times New Roman"/>
          <w:i/>
          <w:sz w:val="24"/>
          <w:szCs w:val="24"/>
          <w:lang w:val="uk-UA"/>
        </w:rPr>
        <w:t>2</w:t>
      </w:r>
      <w:r w:rsidR="00BB2431" w:rsidRPr="00AE525F">
        <w:rPr>
          <w:rFonts w:ascii="Times New Roman" w:hAnsi="Times New Roman" w:cs="Times New Roman"/>
          <w:i/>
          <w:sz w:val="24"/>
          <w:szCs w:val="24"/>
          <w:lang w:val="uk-UA"/>
        </w:rPr>
        <w:t>]</w:t>
      </w:r>
    </w:p>
    <w:p w:rsidR="00BB2431" w:rsidRPr="00AE525F" w:rsidRDefault="00BB2431" w:rsidP="00BB2431">
      <w:pPr>
        <w:spacing w:after="0" w:line="360" w:lineRule="auto"/>
        <w:rPr>
          <w:b/>
          <w:i/>
          <w:sz w:val="28"/>
          <w:szCs w:val="28"/>
          <w:lang w:val="uk-UA"/>
        </w:rPr>
        <w:sectPr w:rsidR="00BB2431" w:rsidRPr="00AE525F" w:rsidSect="00FE4717">
          <w:pgSz w:w="16838" w:h="11906" w:orient="landscape"/>
          <w:pgMar w:top="1134" w:right="1134" w:bottom="1134" w:left="1134" w:header="709" w:footer="709" w:gutter="0"/>
          <w:cols w:space="708"/>
          <w:docGrid w:linePitch="360"/>
        </w:sectPr>
      </w:pPr>
    </w:p>
    <w:p w:rsidR="00155220" w:rsidRPr="00AE525F" w:rsidRDefault="00155220" w:rsidP="00155220">
      <w:pPr>
        <w:spacing w:after="0" w:line="360" w:lineRule="auto"/>
        <w:ind w:firstLine="708"/>
        <w:jc w:val="both"/>
        <w:rPr>
          <w:rFonts w:ascii="Times New Roman" w:hAnsi="Times New Roman" w:cs="Times New Roman"/>
          <w:sz w:val="28"/>
          <w:szCs w:val="28"/>
          <w:lang w:val="uk-UA"/>
        </w:rPr>
      </w:pPr>
      <w:r w:rsidRPr="00AE525F">
        <w:rPr>
          <w:rFonts w:ascii="Times New Roman" w:hAnsi="Times New Roman" w:cs="Times New Roman"/>
          <w:sz w:val="28"/>
          <w:szCs w:val="28"/>
          <w:lang w:val="uk-UA"/>
        </w:rPr>
        <w:lastRenderedPageBreak/>
        <w:t>Зокрема, до бюджетів місцевого самоврядування відносять 25 % цього податку, а до обласних бюджетів – 55 %. Таким чином, податкові надходження місцевих бюджетів формуються в основному за рахунок загальнодержавних податків і зборів, які на тимчасовій чи постійній основі закріплені за певними видами місцевих бюджетів у певній пропорції в залежності від обсягу їх мобілізації.</w:t>
      </w:r>
    </w:p>
    <w:p w:rsidR="00A11DFE" w:rsidRPr="00AE525F" w:rsidRDefault="00A11DFE" w:rsidP="00DE7196">
      <w:pPr>
        <w:spacing w:after="0" w:line="360" w:lineRule="auto"/>
        <w:ind w:firstLine="708"/>
        <w:jc w:val="both"/>
        <w:rPr>
          <w:rFonts w:ascii="Times New Roman" w:hAnsi="Times New Roman" w:cs="Times New Roman"/>
          <w:sz w:val="28"/>
          <w:szCs w:val="28"/>
          <w:lang w:val="uk-UA"/>
        </w:rPr>
      </w:pPr>
      <w:r w:rsidRPr="00AE525F">
        <w:rPr>
          <w:rFonts w:ascii="Times New Roman" w:hAnsi="Times New Roman" w:cs="Times New Roman"/>
          <w:sz w:val="28"/>
          <w:szCs w:val="28"/>
          <w:lang w:val="uk-UA"/>
        </w:rPr>
        <w:t>У таблиці 2</w:t>
      </w:r>
      <w:r w:rsidR="00BB2431" w:rsidRPr="00AE525F">
        <w:rPr>
          <w:rFonts w:ascii="Times New Roman" w:hAnsi="Times New Roman" w:cs="Times New Roman"/>
          <w:sz w:val="28"/>
          <w:szCs w:val="28"/>
          <w:lang w:val="uk-UA"/>
        </w:rPr>
        <w:t xml:space="preserve"> подано динаміку, склад і структуру загальнодержавних податків і зборів у складі доходів місцевих бюджетів у період 2014-201</w:t>
      </w:r>
      <w:r w:rsidRPr="00AE525F">
        <w:rPr>
          <w:rFonts w:ascii="Times New Roman" w:hAnsi="Times New Roman" w:cs="Times New Roman"/>
          <w:sz w:val="28"/>
          <w:szCs w:val="28"/>
          <w:lang w:val="uk-UA"/>
        </w:rPr>
        <w:t>7</w:t>
      </w:r>
      <w:r w:rsidR="00BB2431" w:rsidRPr="00AE525F">
        <w:rPr>
          <w:rFonts w:ascii="Times New Roman" w:hAnsi="Times New Roman" w:cs="Times New Roman"/>
          <w:sz w:val="28"/>
          <w:szCs w:val="28"/>
          <w:lang w:val="uk-UA"/>
        </w:rPr>
        <w:t xml:space="preserve"> рр.</w:t>
      </w:r>
    </w:p>
    <w:p w:rsidR="00BB2431" w:rsidRPr="00AE525F" w:rsidRDefault="00A11DFE" w:rsidP="00BB2431">
      <w:pPr>
        <w:spacing w:after="0" w:line="360" w:lineRule="auto"/>
        <w:ind w:firstLine="708"/>
        <w:jc w:val="right"/>
        <w:rPr>
          <w:rFonts w:ascii="Times New Roman" w:hAnsi="Times New Roman" w:cs="Times New Roman"/>
          <w:i/>
          <w:sz w:val="28"/>
          <w:szCs w:val="28"/>
          <w:lang w:val="uk-UA"/>
        </w:rPr>
      </w:pPr>
      <w:r w:rsidRPr="00AE525F">
        <w:rPr>
          <w:rFonts w:ascii="Times New Roman" w:hAnsi="Times New Roman" w:cs="Times New Roman"/>
          <w:i/>
          <w:sz w:val="28"/>
          <w:szCs w:val="28"/>
          <w:lang w:val="uk-UA"/>
        </w:rPr>
        <w:t>Таблиця 2</w:t>
      </w:r>
    </w:p>
    <w:p w:rsidR="00BB2431" w:rsidRPr="00AE525F" w:rsidRDefault="00BB2431" w:rsidP="00BB2431">
      <w:pPr>
        <w:spacing w:after="0" w:line="360" w:lineRule="auto"/>
        <w:ind w:firstLine="708"/>
        <w:jc w:val="center"/>
        <w:rPr>
          <w:rFonts w:ascii="Times New Roman" w:hAnsi="Times New Roman" w:cs="Times New Roman"/>
          <w:b/>
          <w:sz w:val="28"/>
          <w:szCs w:val="28"/>
          <w:lang w:val="uk-UA"/>
        </w:rPr>
      </w:pPr>
      <w:r w:rsidRPr="00AE525F">
        <w:rPr>
          <w:rFonts w:ascii="Times New Roman" w:hAnsi="Times New Roman" w:cs="Times New Roman"/>
          <w:b/>
          <w:sz w:val="28"/>
          <w:szCs w:val="28"/>
          <w:lang w:val="uk-UA"/>
        </w:rPr>
        <w:t>Динаміка, склад і структура загальнодержавних податків і зборів у складі доходів місцевих бюджетів України у період 2014-201</w:t>
      </w:r>
      <w:r w:rsidR="006A37E9" w:rsidRPr="00AE525F">
        <w:rPr>
          <w:rFonts w:ascii="Times New Roman" w:hAnsi="Times New Roman" w:cs="Times New Roman"/>
          <w:b/>
          <w:sz w:val="28"/>
          <w:szCs w:val="28"/>
          <w:lang w:val="uk-UA"/>
        </w:rPr>
        <w:t>7</w:t>
      </w:r>
      <w:r w:rsidRPr="00AE525F">
        <w:rPr>
          <w:rFonts w:ascii="Times New Roman" w:hAnsi="Times New Roman" w:cs="Times New Roman"/>
          <w:b/>
          <w:sz w:val="28"/>
          <w:szCs w:val="28"/>
          <w:lang w:val="uk-UA"/>
        </w:rPr>
        <w:t xml:space="preserve"> рр.*</w:t>
      </w:r>
    </w:p>
    <w:tbl>
      <w:tblPr>
        <w:tblStyle w:val="a4"/>
        <w:tblW w:w="9889" w:type="dxa"/>
        <w:tblInd w:w="108" w:type="dxa"/>
        <w:tblLayout w:type="fixed"/>
        <w:tblLook w:val="04A0"/>
      </w:tblPr>
      <w:tblGrid>
        <w:gridCol w:w="1526"/>
        <w:gridCol w:w="850"/>
        <w:gridCol w:w="851"/>
        <w:gridCol w:w="850"/>
        <w:gridCol w:w="851"/>
        <w:gridCol w:w="850"/>
        <w:gridCol w:w="851"/>
        <w:gridCol w:w="850"/>
        <w:gridCol w:w="744"/>
        <w:gridCol w:w="816"/>
        <w:gridCol w:w="850"/>
      </w:tblGrid>
      <w:tr w:rsidR="006A37E9" w:rsidRPr="00AE525F" w:rsidTr="00FE4717">
        <w:tc>
          <w:tcPr>
            <w:tcW w:w="1526" w:type="dxa"/>
            <w:vMerge w:val="restart"/>
          </w:tcPr>
          <w:p w:rsidR="006A37E9" w:rsidRPr="00AE525F" w:rsidRDefault="006A37E9" w:rsidP="00FF5B1F">
            <w:pPr>
              <w:jc w:val="center"/>
              <w:rPr>
                <w:rFonts w:ascii="Times New Roman" w:hAnsi="Times New Roman" w:cs="Times New Roman"/>
                <w:lang w:val="uk-UA"/>
              </w:rPr>
            </w:pPr>
            <w:r w:rsidRPr="00AE525F">
              <w:rPr>
                <w:rFonts w:ascii="Times New Roman" w:hAnsi="Times New Roman" w:cs="Times New Roman"/>
                <w:lang w:val="uk-UA"/>
              </w:rPr>
              <w:t>показники</w:t>
            </w:r>
          </w:p>
        </w:tc>
        <w:tc>
          <w:tcPr>
            <w:tcW w:w="1701" w:type="dxa"/>
            <w:gridSpan w:val="2"/>
          </w:tcPr>
          <w:p w:rsidR="006A37E9" w:rsidRPr="00AE525F" w:rsidRDefault="006A37E9" w:rsidP="00FF5B1F">
            <w:pPr>
              <w:jc w:val="center"/>
              <w:rPr>
                <w:rFonts w:ascii="Times New Roman" w:hAnsi="Times New Roman" w:cs="Times New Roman"/>
                <w:lang w:val="uk-UA"/>
              </w:rPr>
            </w:pPr>
            <w:r w:rsidRPr="00AE525F">
              <w:rPr>
                <w:rFonts w:ascii="Times New Roman" w:hAnsi="Times New Roman" w:cs="Times New Roman"/>
                <w:lang w:val="uk-UA"/>
              </w:rPr>
              <w:t>2014 р.</w:t>
            </w:r>
          </w:p>
        </w:tc>
        <w:tc>
          <w:tcPr>
            <w:tcW w:w="1701" w:type="dxa"/>
            <w:gridSpan w:val="2"/>
          </w:tcPr>
          <w:p w:rsidR="006A37E9" w:rsidRPr="00AE525F" w:rsidRDefault="006A37E9" w:rsidP="00FF5B1F">
            <w:pPr>
              <w:jc w:val="center"/>
              <w:rPr>
                <w:rFonts w:ascii="Times New Roman" w:hAnsi="Times New Roman" w:cs="Times New Roman"/>
                <w:lang w:val="uk-UA"/>
              </w:rPr>
            </w:pPr>
            <w:r w:rsidRPr="00AE525F">
              <w:rPr>
                <w:rFonts w:ascii="Times New Roman" w:hAnsi="Times New Roman" w:cs="Times New Roman"/>
                <w:lang w:val="uk-UA"/>
              </w:rPr>
              <w:t>2015 р.</w:t>
            </w:r>
          </w:p>
        </w:tc>
        <w:tc>
          <w:tcPr>
            <w:tcW w:w="1701" w:type="dxa"/>
            <w:gridSpan w:val="2"/>
          </w:tcPr>
          <w:p w:rsidR="006A37E9" w:rsidRPr="00AE525F" w:rsidRDefault="006A37E9" w:rsidP="00FF5B1F">
            <w:pPr>
              <w:jc w:val="center"/>
              <w:rPr>
                <w:rFonts w:ascii="Times New Roman" w:hAnsi="Times New Roman" w:cs="Times New Roman"/>
                <w:lang w:val="uk-UA"/>
              </w:rPr>
            </w:pPr>
            <w:r w:rsidRPr="00AE525F">
              <w:rPr>
                <w:rFonts w:ascii="Times New Roman" w:hAnsi="Times New Roman" w:cs="Times New Roman"/>
                <w:lang w:val="uk-UA"/>
              </w:rPr>
              <w:t>2016 р.</w:t>
            </w:r>
          </w:p>
        </w:tc>
        <w:tc>
          <w:tcPr>
            <w:tcW w:w="1594" w:type="dxa"/>
            <w:gridSpan w:val="2"/>
          </w:tcPr>
          <w:p w:rsidR="006A37E9" w:rsidRPr="00AE525F" w:rsidRDefault="006A37E9" w:rsidP="00FF5B1F">
            <w:pPr>
              <w:jc w:val="center"/>
              <w:rPr>
                <w:rFonts w:ascii="Times New Roman" w:hAnsi="Times New Roman" w:cs="Times New Roman"/>
                <w:lang w:val="uk-UA"/>
              </w:rPr>
            </w:pPr>
            <w:r w:rsidRPr="00AE525F">
              <w:rPr>
                <w:rFonts w:ascii="Times New Roman" w:hAnsi="Times New Roman" w:cs="Times New Roman"/>
                <w:lang w:val="uk-UA"/>
              </w:rPr>
              <w:t>2017 р.</w:t>
            </w:r>
          </w:p>
        </w:tc>
        <w:tc>
          <w:tcPr>
            <w:tcW w:w="1666" w:type="dxa"/>
            <w:gridSpan w:val="2"/>
          </w:tcPr>
          <w:p w:rsidR="006A37E9" w:rsidRPr="00AE525F" w:rsidRDefault="006A37E9" w:rsidP="00FF5B1F">
            <w:pPr>
              <w:jc w:val="center"/>
              <w:rPr>
                <w:rFonts w:ascii="Times New Roman" w:hAnsi="Times New Roman" w:cs="Times New Roman"/>
                <w:lang w:val="uk-UA"/>
              </w:rPr>
            </w:pPr>
            <w:r w:rsidRPr="00AE525F">
              <w:rPr>
                <w:rFonts w:ascii="Times New Roman" w:hAnsi="Times New Roman" w:cs="Times New Roman"/>
                <w:lang w:val="uk-UA"/>
              </w:rPr>
              <w:t>приріст / зменшення</w:t>
            </w:r>
          </w:p>
        </w:tc>
      </w:tr>
      <w:tr w:rsidR="006A37E9" w:rsidRPr="00AE525F" w:rsidTr="00FE4717">
        <w:tc>
          <w:tcPr>
            <w:tcW w:w="1526" w:type="dxa"/>
            <w:vMerge/>
          </w:tcPr>
          <w:p w:rsidR="00A11DFE" w:rsidRPr="00AE525F" w:rsidRDefault="00A11DFE" w:rsidP="00FF5B1F">
            <w:pPr>
              <w:jc w:val="center"/>
              <w:rPr>
                <w:rFonts w:ascii="Times New Roman" w:hAnsi="Times New Roman" w:cs="Times New Roman"/>
                <w:lang w:val="uk-UA"/>
              </w:rPr>
            </w:pPr>
          </w:p>
        </w:tc>
        <w:tc>
          <w:tcPr>
            <w:tcW w:w="850"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млрд. грн.</w:t>
            </w:r>
          </w:p>
        </w:tc>
        <w:tc>
          <w:tcPr>
            <w:tcW w:w="851"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w:t>
            </w:r>
          </w:p>
        </w:tc>
        <w:tc>
          <w:tcPr>
            <w:tcW w:w="850"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млрд. грн.</w:t>
            </w:r>
          </w:p>
        </w:tc>
        <w:tc>
          <w:tcPr>
            <w:tcW w:w="851"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w:t>
            </w:r>
          </w:p>
        </w:tc>
        <w:tc>
          <w:tcPr>
            <w:tcW w:w="850"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млрд. грн.</w:t>
            </w:r>
          </w:p>
        </w:tc>
        <w:tc>
          <w:tcPr>
            <w:tcW w:w="851"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w:t>
            </w:r>
          </w:p>
        </w:tc>
        <w:tc>
          <w:tcPr>
            <w:tcW w:w="850" w:type="dxa"/>
          </w:tcPr>
          <w:p w:rsidR="00A11DFE" w:rsidRPr="00AE525F" w:rsidRDefault="006A37E9" w:rsidP="00FF5B1F">
            <w:pPr>
              <w:jc w:val="center"/>
              <w:rPr>
                <w:rFonts w:ascii="Times New Roman" w:hAnsi="Times New Roman" w:cs="Times New Roman"/>
                <w:lang w:val="uk-UA"/>
              </w:rPr>
            </w:pPr>
            <w:r w:rsidRPr="00AE525F">
              <w:rPr>
                <w:rFonts w:ascii="Times New Roman" w:hAnsi="Times New Roman" w:cs="Times New Roman"/>
                <w:lang w:val="uk-UA"/>
              </w:rPr>
              <w:t>млрд. грн.</w:t>
            </w:r>
          </w:p>
        </w:tc>
        <w:tc>
          <w:tcPr>
            <w:tcW w:w="744" w:type="dxa"/>
          </w:tcPr>
          <w:p w:rsidR="00A11DFE" w:rsidRPr="00AE525F" w:rsidRDefault="006A37E9" w:rsidP="00FF5B1F">
            <w:pPr>
              <w:jc w:val="center"/>
              <w:rPr>
                <w:rFonts w:ascii="Times New Roman" w:hAnsi="Times New Roman" w:cs="Times New Roman"/>
                <w:lang w:val="uk-UA"/>
              </w:rPr>
            </w:pPr>
            <w:r w:rsidRPr="00AE525F">
              <w:rPr>
                <w:rFonts w:ascii="Times New Roman" w:hAnsi="Times New Roman" w:cs="Times New Roman"/>
                <w:lang w:val="uk-UA"/>
              </w:rPr>
              <w:t>%</w:t>
            </w:r>
          </w:p>
        </w:tc>
        <w:tc>
          <w:tcPr>
            <w:tcW w:w="816"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млрд. грн.</w:t>
            </w:r>
          </w:p>
        </w:tc>
        <w:tc>
          <w:tcPr>
            <w:tcW w:w="850"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w:t>
            </w:r>
          </w:p>
        </w:tc>
      </w:tr>
      <w:tr w:rsidR="006A37E9" w:rsidRPr="00AE525F" w:rsidTr="009555FE">
        <w:tc>
          <w:tcPr>
            <w:tcW w:w="1526" w:type="dxa"/>
          </w:tcPr>
          <w:p w:rsidR="00A11DFE" w:rsidRPr="00AE525F" w:rsidRDefault="00A11DFE" w:rsidP="00FF5B1F">
            <w:pPr>
              <w:jc w:val="both"/>
              <w:rPr>
                <w:rFonts w:ascii="Times New Roman" w:hAnsi="Times New Roman" w:cs="Times New Roman"/>
                <w:lang w:val="uk-UA"/>
              </w:rPr>
            </w:pPr>
            <w:r w:rsidRPr="00AE525F">
              <w:rPr>
                <w:rFonts w:ascii="Times New Roman" w:hAnsi="Times New Roman" w:cs="Times New Roman"/>
                <w:lang w:val="uk-UA"/>
              </w:rPr>
              <w:t xml:space="preserve">Доходи місцевих бюджетів, всього, </w:t>
            </w:r>
            <w:r w:rsidRPr="00AE525F">
              <w:rPr>
                <w:rFonts w:ascii="Times New Roman" w:hAnsi="Times New Roman" w:cs="Times New Roman"/>
                <w:i/>
                <w:lang w:val="uk-UA"/>
              </w:rPr>
              <w:t>в тому числі:</w:t>
            </w:r>
          </w:p>
        </w:tc>
        <w:tc>
          <w:tcPr>
            <w:tcW w:w="850" w:type="dxa"/>
            <w:vAlign w:val="bottom"/>
          </w:tcPr>
          <w:p w:rsidR="006A37E9" w:rsidRPr="00AE525F" w:rsidRDefault="006A37E9" w:rsidP="009555FE">
            <w:pPr>
              <w:jc w:val="center"/>
              <w:rPr>
                <w:rFonts w:ascii="Times New Roman" w:hAnsi="Times New Roman" w:cs="Times New Roman"/>
                <w:lang w:val="uk-UA"/>
              </w:rPr>
            </w:pPr>
          </w:p>
          <w:p w:rsidR="00A11DFE" w:rsidRPr="00AE525F" w:rsidRDefault="00A11DFE" w:rsidP="009555FE">
            <w:pPr>
              <w:jc w:val="center"/>
              <w:rPr>
                <w:rFonts w:ascii="Times New Roman" w:hAnsi="Times New Roman" w:cs="Times New Roman"/>
                <w:lang w:val="uk-UA"/>
              </w:rPr>
            </w:pPr>
            <w:r w:rsidRPr="00AE525F">
              <w:rPr>
                <w:rFonts w:ascii="Times New Roman" w:hAnsi="Times New Roman" w:cs="Times New Roman"/>
                <w:lang w:val="uk-UA"/>
              </w:rPr>
              <w:t>231,7</w:t>
            </w:r>
          </w:p>
        </w:tc>
        <w:tc>
          <w:tcPr>
            <w:tcW w:w="851" w:type="dxa"/>
            <w:vAlign w:val="bottom"/>
          </w:tcPr>
          <w:p w:rsidR="006A37E9" w:rsidRPr="00AE525F" w:rsidRDefault="006A37E9" w:rsidP="009555FE">
            <w:pPr>
              <w:jc w:val="center"/>
              <w:rPr>
                <w:rFonts w:ascii="Times New Roman" w:hAnsi="Times New Roman" w:cs="Times New Roman"/>
                <w:lang w:val="uk-UA"/>
              </w:rPr>
            </w:pPr>
          </w:p>
          <w:p w:rsidR="00A11DFE" w:rsidRPr="00AE525F" w:rsidRDefault="00A11DFE" w:rsidP="009555FE">
            <w:pPr>
              <w:jc w:val="center"/>
              <w:rPr>
                <w:rFonts w:ascii="Times New Roman" w:hAnsi="Times New Roman" w:cs="Times New Roman"/>
                <w:lang w:val="uk-UA"/>
              </w:rPr>
            </w:pPr>
            <w:r w:rsidRPr="00AE525F">
              <w:rPr>
                <w:rFonts w:ascii="Times New Roman" w:hAnsi="Times New Roman" w:cs="Times New Roman"/>
                <w:lang w:val="uk-UA"/>
              </w:rPr>
              <w:t>100,0</w:t>
            </w:r>
          </w:p>
        </w:tc>
        <w:tc>
          <w:tcPr>
            <w:tcW w:w="850" w:type="dxa"/>
            <w:vAlign w:val="bottom"/>
          </w:tcPr>
          <w:p w:rsidR="006A37E9" w:rsidRPr="00AE525F" w:rsidRDefault="006A37E9" w:rsidP="009555FE">
            <w:pPr>
              <w:jc w:val="center"/>
              <w:rPr>
                <w:rFonts w:ascii="Times New Roman" w:hAnsi="Times New Roman" w:cs="Times New Roman"/>
                <w:lang w:val="uk-UA"/>
              </w:rPr>
            </w:pPr>
          </w:p>
          <w:p w:rsidR="00A11DFE" w:rsidRPr="00AE525F" w:rsidRDefault="00A11DFE" w:rsidP="009555FE">
            <w:pPr>
              <w:jc w:val="center"/>
              <w:rPr>
                <w:rFonts w:ascii="Times New Roman" w:hAnsi="Times New Roman" w:cs="Times New Roman"/>
                <w:lang w:val="uk-UA"/>
              </w:rPr>
            </w:pPr>
            <w:r w:rsidRPr="00AE525F">
              <w:rPr>
                <w:rFonts w:ascii="Times New Roman" w:hAnsi="Times New Roman" w:cs="Times New Roman"/>
                <w:lang w:val="uk-UA"/>
              </w:rPr>
              <w:t>294,46</w:t>
            </w:r>
          </w:p>
        </w:tc>
        <w:tc>
          <w:tcPr>
            <w:tcW w:w="851" w:type="dxa"/>
            <w:vAlign w:val="bottom"/>
          </w:tcPr>
          <w:p w:rsidR="006A37E9" w:rsidRPr="00AE525F" w:rsidRDefault="006A37E9" w:rsidP="009555FE">
            <w:pPr>
              <w:jc w:val="center"/>
              <w:rPr>
                <w:rFonts w:ascii="Times New Roman" w:hAnsi="Times New Roman" w:cs="Times New Roman"/>
                <w:lang w:val="uk-UA"/>
              </w:rPr>
            </w:pPr>
          </w:p>
          <w:p w:rsidR="00A11DFE" w:rsidRPr="00AE525F" w:rsidRDefault="00A11DFE" w:rsidP="009555FE">
            <w:pPr>
              <w:jc w:val="center"/>
              <w:rPr>
                <w:rFonts w:ascii="Times New Roman" w:hAnsi="Times New Roman" w:cs="Times New Roman"/>
                <w:lang w:val="uk-UA"/>
              </w:rPr>
            </w:pPr>
            <w:r w:rsidRPr="00AE525F">
              <w:rPr>
                <w:rFonts w:ascii="Times New Roman" w:hAnsi="Times New Roman" w:cs="Times New Roman"/>
                <w:lang w:val="uk-UA"/>
              </w:rPr>
              <w:t>100,0</w:t>
            </w:r>
          </w:p>
        </w:tc>
        <w:tc>
          <w:tcPr>
            <w:tcW w:w="850" w:type="dxa"/>
            <w:vAlign w:val="bottom"/>
          </w:tcPr>
          <w:p w:rsidR="006A37E9" w:rsidRPr="00AE525F" w:rsidRDefault="006A37E9" w:rsidP="009555FE">
            <w:pPr>
              <w:jc w:val="center"/>
              <w:rPr>
                <w:rFonts w:ascii="Times New Roman" w:hAnsi="Times New Roman" w:cs="Times New Roman"/>
                <w:lang w:val="uk-UA"/>
              </w:rPr>
            </w:pPr>
          </w:p>
          <w:p w:rsidR="00A11DFE" w:rsidRPr="00AE525F" w:rsidRDefault="00A11DFE" w:rsidP="009555FE">
            <w:pPr>
              <w:jc w:val="center"/>
              <w:rPr>
                <w:rFonts w:ascii="Times New Roman" w:hAnsi="Times New Roman" w:cs="Times New Roman"/>
                <w:lang w:val="uk-UA"/>
              </w:rPr>
            </w:pPr>
            <w:r w:rsidRPr="00AE525F">
              <w:rPr>
                <w:rFonts w:ascii="Times New Roman" w:hAnsi="Times New Roman" w:cs="Times New Roman"/>
                <w:lang w:val="uk-UA"/>
              </w:rPr>
              <w:t>366,14</w:t>
            </w:r>
          </w:p>
        </w:tc>
        <w:tc>
          <w:tcPr>
            <w:tcW w:w="851" w:type="dxa"/>
            <w:vAlign w:val="bottom"/>
          </w:tcPr>
          <w:p w:rsidR="006A37E9" w:rsidRPr="00AE525F" w:rsidRDefault="006A37E9" w:rsidP="009555FE">
            <w:pPr>
              <w:jc w:val="center"/>
              <w:rPr>
                <w:rFonts w:ascii="Times New Roman" w:hAnsi="Times New Roman" w:cs="Times New Roman"/>
                <w:lang w:val="uk-UA"/>
              </w:rPr>
            </w:pPr>
          </w:p>
          <w:p w:rsidR="00A11DFE" w:rsidRPr="00AE525F" w:rsidRDefault="00A11DFE" w:rsidP="009555FE">
            <w:pPr>
              <w:jc w:val="center"/>
              <w:rPr>
                <w:rFonts w:ascii="Times New Roman" w:hAnsi="Times New Roman" w:cs="Times New Roman"/>
                <w:lang w:val="uk-UA"/>
              </w:rPr>
            </w:pPr>
            <w:r w:rsidRPr="00AE525F">
              <w:rPr>
                <w:rFonts w:ascii="Times New Roman" w:hAnsi="Times New Roman" w:cs="Times New Roman"/>
                <w:lang w:val="uk-UA"/>
              </w:rPr>
              <w:t>100,0</w:t>
            </w:r>
          </w:p>
        </w:tc>
        <w:tc>
          <w:tcPr>
            <w:tcW w:w="850" w:type="dxa"/>
            <w:vAlign w:val="bottom"/>
          </w:tcPr>
          <w:p w:rsidR="00A11DFE" w:rsidRPr="00AE525F" w:rsidRDefault="00A11DFE" w:rsidP="009555FE">
            <w:pPr>
              <w:jc w:val="center"/>
              <w:rPr>
                <w:rFonts w:ascii="Times New Roman" w:hAnsi="Times New Roman" w:cs="Times New Roman"/>
                <w:lang w:val="uk-UA"/>
              </w:rPr>
            </w:pPr>
          </w:p>
          <w:p w:rsidR="002C1D3F" w:rsidRPr="00AE525F" w:rsidRDefault="002C1D3F" w:rsidP="009555FE">
            <w:pPr>
              <w:jc w:val="center"/>
              <w:rPr>
                <w:rFonts w:ascii="Times New Roman" w:hAnsi="Times New Roman" w:cs="Times New Roman"/>
                <w:lang w:val="uk-UA"/>
              </w:rPr>
            </w:pPr>
            <w:r w:rsidRPr="00AE525F">
              <w:rPr>
                <w:rFonts w:ascii="Times New Roman" w:hAnsi="Times New Roman" w:cs="Times New Roman"/>
                <w:lang w:val="uk-UA"/>
              </w:rPr>
              <w:t>502,09</w:t>
            </w:r>
          </w:p>
        </w:tc>
        <w:tc>
          <w:tcPr>
            <w:tcW w:w="744" w:type="dxa"/>
            <w:vAlign w:val="bottom"/>
          </w:tcPr>
          <w:p w:rsidR="006A37E9" w:rsidRPr="00AE525F" w:rsidRDefault="006A37E9" w:rsidP="009555FE">
            <w:pPr>
              <w:jc w:val="center"/>
              <w:rPr>
                <w:rFonts w:ascii="Times New Roman" w:hAnsi="Times New Roman" w:cs="Times New Roman"/>
                <w:lang w:val="uk-UA"/>
              </w:rPr>
            </w:pPr>
          </w:p>
          <w:p w:rsidR="00A11DFE" w:rsidRPr="00AE525F" w:rsidRDefault="006A37E9" w:rsidP="009555FE">
            <w:pPr>
              <w:jc w:val="center"/>
              <w:rPr>
                <w:rFonts w:ascii="Times New Roman" w:hAnsi="Times New Roman" w:cs="Times New Roman"/>
                <w:lang w:val="uk-UA"/>
              </w:rPr>
            </w:pPr>
            <w:r w:rsidRPr="00AE525F">
              <w:rPr>
                <w:rFonts w:ascii="Times New Roman" w:hAnsi="Times New Roman" w:cs="Times New Roman"/>
                <w:lang w:val="uk-UA"/>
              </w:rPr>
              <w:t>100,0</w:t>
            </w:r>
          </w:p>
        </w:tc>
        <w:tc>
          <w:tcPr>
            <w:tcW w:w="816" w:type="dxa"/>
            <w:vAlign w:val="bottom"/>
          </w:tcPr>
          <w:p w:rsidR="006A37E9" w:rsidRPr="00AE525F" w:rsidRDefault="006A37E9" w:rsidP="009555FE">
            <w:pPr>
              <w:jc w:val="center"/>
              <w:rPr>
                <w:rFonts w:ascii="Times New Roman" w:hAnsi="Times New Roman" w:cs="Times New Roman"/>
                <w:lang w:val="uk-UA"/>
              </w:rPr>
            </w:pPr>
          </w:p>
          <w:p w:rsidR="00A11DFE" w:rsidRPr="00AE525F" w:rsidRDefault="002C1D3F" w:rsidP="009555FE">
            <w:pPr>
              <w:jc w:val="center"/>
              <w:rPr>
                <w:rFonts w:ascii="Times New Roman" w:hAnsi="Times New Roman" w:cs="Times New Roman"/>
                <w:lang w:val="uk-UA"/>
              </w:rPr>
            </w:pPr>
            <w:r w:rsidRPr="00AE525F">
              <w:rPr>
                <w:rFonts w:ascii="Times New Roman" w:hAnsi="Times New Roman" w:cs="Times New Roman"/>
                <w:lang w:val="uk-UA"/>
              </w:rPr>
              <w:t>270,4</w:t>
            </w:r>
          </w:p>
        </w:tc>
        <w:tc>
          <w:tcPr>
            <w:tcW w:w="850" w:type="dxa"/>
            <w:vAlign w:val="bottom"/>
          </w:tcPr>
          <w:p w:rsidR="006A37E9" w:rsidRPr="00AE525F" w:rsidRDefault="006A37E9" w:rsidP="009555FE">
            <w:pPr>
              <w:jc w:val="center"/>
              <w:rPr>
                <w:rFonts w:ascii="Times New Roman" w:hAnsi="Times New Roman" w:cs="Times New Roman"/>
                <w:lang w:val="uk-UA"/>
              </w:rPr>
            </w:pPr>
          </w:p>
          <w:p w:rsidR="00A11DFE" w:rsidRPr="00AE525F" w:rsidRDefault="002C1D3F" w:rsidP="009555FE">
            <w:pPr>
              <w:jc w:val="center"/>
              <w:rPr>
                <w:rFonts w:ascii="Times New Roman" w:hAnsi="Times New Roman" w:cs="Times New Roman"/>
                <w:lang w:val="uk-UA"/>
              </w:rPr>
            </w:pPr>
            <w:r w:rsidRPr="00AE525F">
              <w:rPr>
                <w:rFonts w:ascii="Times New Roman" w:hAnsi="Times New Roman" w:cs="Times New Roman"/>
                <w:lang w:val="uk-UA"/>
              </w:rPr>
              <w:t>216,7</w:t>
            </w:r>
          </w:p>
        </w:tc>
      </w:tr>
      <w:tr w:rsidR="006A37E9" w:rsidRPr="00AE525F" w:rsidTr="009555FE">
        <w:tc>
          <w:tcPr>
            <w:tcW w:w="1526" w:type="dxa"/>
          </w:tcPr>
          <w:p w:rsidR="00A11DFE" w:rsidRPr="00AE525F" w:rsidRDefault="00A11DFE" w:rsidP="00FF5B1F">
            <w:pPr>
              <w:jc w:val="both"/>
              <w:rPr>
                <w:rFonts w:ascii="Times New Roman" w:hAnsi="Times New Roman" w:cs="Times New Roman"/>
                <w:lang w:val="uk-UA"/>
              </w:rPr>
            </w:pPr>
            <w:r w:rsidRPr="00AE525F">
              <w:rPr>
                <w:rFonts w:ascii="Times New Roman" w:hAnsi="Times New Roman" w:cs="Times New Roman"/>
                <w:lang w:val="uk-UA"/>
              </w:rPr>
              <w:t xml:space="preserve">Податкові надходження, </w:t>
            </w:r>
            <w:r w:rsidRPr="00AE525F">
              <w:rPr>
                <w:rFonts w:ascii="Times New Roman" w:hAnsi="Times New Roman" w:cs="Times New Roman"/>
                <w:i/>
                <w:lang w:val="uk-UA"/>
              </w:rPr>
              <w:t>з них:</w:t>
            </w:r>
          </w:p>
        </w:tc>
        <w:tc>
          <w:tcPr>
            <w:tcW w:w="850" w:type="dxa"/>
            <w:vAlign w:val="bottom"/>
          </w:tcPr>
          <w:p w:rsidR="00A11DFE" w:rsidRPr="00AE525F" w:rsidRDefault="00A11DFE" w:rsidP="009555FE">
            <w:pPr>
              <w:jc w:val="center"/>
              <w:rPr>
                <w:rFonts w:ascii="Times New Roman" w:hAnsi="Times New Roman" w:cs="Times New Roman"/>
                <w:lang w:val="uk-UA"/>
              </w:rPr>
            </w:pPr>
            <w:r w:rsidRPr="00AE525F">
              <w:rPr>
                <w:rFonts w:ascii="Times New Roman" w:hAnsi="Times New Roman" w:cs="Times New Roman"/>
                <w:lang w:val="uk-UA"/>
              </w:rPr>
              <w:t>87,33</w:t>
            </w:r>
          </w:p>
        </w:tc>
        <w:tc>
          <w:tcPr>
            <w:tcW w:w="851" w:type="dxa"/>
            <w:vAlign w:val="bottom"/>
          </w:tcPr>
          <w:p w:rsidR="00A11DFE" w:rsidRPr="00AE525F" w:rsidRDefault="00A11DFE" w:rsidP="009555FE">
            <w:pPr>
              <w:jc w:val="center"/>
              <w:rPr>
                <w:rFonts w:ascii="Times New Roman" w:hAnsi="Times New Roman" w:cs="Times New Roman"/>
                <w:lang w:val="uk-UA"/>
              </w:rPr>
            </w:pPr>
            <w:r w:rsidRPr="00AE525F">
              <w:rPr>
                <w:rFonts w:ascii="Times New Roman" w:hAnsi="Times New Roman" w:cs="Times New Roman"/>
                <w:lang w:val="uk-UA"/>
              </w:rPr>
              <w:t>37,69</w:t>
            </w:r>
          </w:p>
        </w:tc>
        <w:tc>
          <w:tcPr>
            <w:tcW w:w="850" w:type="dxa"/>
            <w:vAlign w:val="bottom"/>
          </w:tcPr>
          <w:p w:rsidR="00A11DFE" w:rsidRPr="00AE525F" w:rsidRDefault="00A11DFE" w:rsidP="009555FE">
            <w:pPr>
              <w:jc w:val="center"/>
              <w:rPr>
                <w:rFonts w:ascii="Times New Roman" w:hAnsi="Times New Roman" w:cs="Times New Roman"/>
                <w:lang w:val="uk-UA"/>
              </w:rPr>
            </w:pPr>
            <w:r w:rsidRPr="00AE525F">
              <w:rPr>
                <w:rFonts w:ascii="Times New Roman" w:hAnsi="Times New Roman" w:cs="Times New Roman"/>
                <w:lang w:val="uk-UA"/>
              </w:rPr>
              <w:t>98,22</w:t>
            </w:r>
          </w:p>
        </w:tc>
        <w:tc>
          <w:tcPr>
            <w:tcW w:w="851" w:type="dxa"/>
            <w:vAlign w:val="bottom"/>
          </w:tcPr>
          <w:p w:rsidR="00A11DFE" w:rsidRPr="00AE525F" w:rsidRDefault="00A11DFE" w:rsidP="009555FE">
            <w:pPr>
              <w:jc w:val="center"/>
              <w:rPr>
                <w:rFonts w:ascii="Times New Roman" w:hAnsi="Times New Roman" w:cs="Times New Roman"/>
                <w:lang w:val="uk-UA"/>
              </w:rPr>
            </w:pPr>
            <w:r w:rsidRPr="00AE525F">
              <w:rPr>
                <w:rFonts w:ascii="Times New Roman" w:hAnsi="Times New Roman" w:cs="Times New Roman"/>
                <w:lang w:val="uk-UA"/>
              </w:rPr>
              <w:t>33,35</w:t>
            </w:r>
          </w:p>
        </w:tc>
        <w:tc>
          <w:tcPr>
            <w:tcW w:w="850" w:type="dxa"/>
            <w:vAlign w:val="bottom"/>
          </w:tcPr>
          <w:p w:rsidR="00A11DFE" w:rsidRPr="00AE525F" w:rsidRDefault="00A11DFE" w:rsidP="009555FE">
            <w:pPr>
              <w:jc w:val="center"/>
              <w:rPr>
                <w:rFonts w:ascii="Times New Roman" w:hAnsi="Times New Roman" w:cs="Times New Roman"/>
                <w:lang w:val="uk-UA"/>
              </w:rPr>
            </w:pPr>
            <w:r w:rsidRPr="00AE525F">
              <w:rPr>
                <w:rFonts w:ascii="Times New Roman" w:hAnsi="Times New Roman" w:cs="Times New Roman"/>
                <w:lang w:val="uk-UA"/>
              </w:rPr>
              <w:t>146,90</w:t>
            </w:r>
          </w:p>
        </w:tc>
        <w:tc>
          <w:tcPr>
            <w:tcW w:w="851" w:type="dxa"/>
            <w:vAlign w:val="bottom"/>
          </w:tcPr>
          <w:p w:rsidR="00A11DFE" w:rsidRPr="00AE525F" w:rsidRDefault="00A11DFE" w:rsidP="009555FE">
            <w:pPr>
              <w:jc w:val="center"/>
              <w:rPr>
                <w:rFonts w:ascii="Times New Roman" w:hAnsi="Times New Roman" w:cs="Times New Roman"/>
                <w:lang w:val="uk-UA"/>
              </w:rPr>
            </w:pPr>
            <w:r w:rsidRPr="00AE525F">
              <w:rPr>
                <w:rFonts w:ascii="Times New Roman" w:hAnsi="Times New Roman" w:cs="Times New Roman"/>
                <w:lang w:val="uk-UA"/>
              </w:rPr>
              <w:t>40,12</w:t>
            </w:r>
          </w:p>
        </w:tc>
        <w:tc>
          <w:tcPr>
            <w:tcW w:w="850" w:type="dxa"/>
            <w:vAlign w:val="bottom"/>
          </w:tcPr>
          <w:p w:rsidR="00A11DFE" w:rsidRPr="00AE525F" w:rsidRDefault="002C1D3F" w:rsidP="009555FE">
            <w:pPr>
              <w:jc w:val="center"/>
              <w:rPr>
                <w:rFonts w:ascii="Times New Roman" w:hAnsi="Times New Roman" w:cs="Times New Roman"/>
                <w:lang w:val="uk-UA"/>
              </w:rPr>
            </w:pPr>
            <w:r w:rsidRPr="00AE525F">
              <w:rPr>
                <w:rFonts w:ascii="Times New Roman" w:hAnsi="Times New Roman" w:cs="Times New Roman"/>
                <w:lang w:val="uk-UA"/>
              </w:rPr>
              <w:t>201,00</w:t>
            </w:r>
          </w:p>
        </w:tc>
        <w:tc>
          <w:tcPr>
            <w:tcW w:w="744" w:type="dxa"/>
            <w:vAlign w:val="bottom"/>
          </w:tcPr>
          <w:p w:rsidR="00A11DFE" w:rsidRPr="00AE525F" w:rsidRDefault="002C1D3F" w:rsidP="009555FE">
            <w:pPr>
              <w:jc w:val="center"/>
              <w:rPr>
                <w:rFonts w:ascii="Times New Roman" w:hAnsi="Times New Roman" w:cs="Times New Roman"/>
                <w:lang w:val="uk-UA"/>
              </w:rPr>
            </w:pPr>
            <w:r w:rsidRPr="00AE525F">
              <w:rPr>
                <w:rFonts w:ascii="Times New Roman" w:hAnsi="Times New Roman" w:cs="Times New Roman"/>
                <w:lang w:val="uk-UA"/>
              </w:rPr>
              <w:t>40,03</w:t>
            </w:r>
          </w:p>
        </w:tc>
        <w:tc>
          <w:tcPr>
            <w:tcW w:w="816" w:type="dxa"/>
            <w:vAlign w:val="bottom"/>
          </w:tcPr>
          <w:p w:rsidR="00A11DFE" w:rsidRPr="00AE525F" w:rsidRDefault="002C1D3F" w:rsidP="009555FE">
            <w:pPr>
              <w:jc w:val="center"/>
              <w:rPr>
                <w:rFonts w:ascii="Times New Roman" w:hAnsi="Times New Roman" w:cs="Times New Roman"/>
                <w:lang w:val="uk-UA"/>
              </w:rPr>
            </w:pPr>
            <w:r w:rsidRPr="00AE525F">
              <w:rPr>
                <w:rFonts w:ascii="Times New Roman" w:hAnsi="Times New Roman" w:cs="Times New Roman"/>
                <w:lang w:val="uk-UA"/>
              </w:rPr>
              <w:t>113,6</w:t>
            </w:r>
          </w:p>
        </w:tc>
        <w:tc>
          <w:tcPr>
            <w:tcW w:w="850" w:type="dxa"/>
            <w:vAlign w:val="bottom"/>
          </w:tcPr>
          <w:p w:rsidR="00A11DFE" w:rsidRPr="00AE525F" w:rsidRDefault="002C1D3F" w:rsidP="009555FE">
            <w:pPr>
              <w:jc w:val="center"/>
              <w:rPr>
                <w:rFonts w:ascii="Times New Roman" w:hAnsi="Times New Roman" w:cs="Times New Roman"/>
                <w:lang w:val="uk-UA"/>
              </w:rPr>
            </w:pPr>
            <w:r w:rsidRPr="00AE525F">
              <w:rPr>
                <w:rFonts w:ascii="Times New Roman" w:hAnsi="Times New Roman" w:cs="Times New Roman"/>
                <w:lang w:val="uk-UA"/>
              </w:rPr>
              <w:t>230,2</w:t>
            </w:r>
          </w:p>
        </w:tc>
      </w:tr>
      <w:tr w:rsidR="006A37E9" w:rsidRPr="00AE525F" w:rsidTr="009555FE">
        <w:tc>
          <w:tcPr>
            <w:tcW w:w="1526" w:type="dxa"/>
          </w:tcPr>
          <w:p w:rsidR="00A11DFE" w:rsidRPr="00AE525F" w:rsidRDefault="00A11DFE" w:rsidP="00FF5B1F">
            <w:pPr>
              <w:jc w:val="both"/>
              <w:rPr>
                <w:rFonts w:ascii="Times New Roman" w:hAnsi="Times New Roman" w:cs="Times New Roman"/>
                <w:lang w:val="uk-UA"/>
              </w:rPr>
            </w:pPr>
            <w:r w:rsidRPr="00AE525F">
              <w:rPr>
                <w:rFonts w:ascii="Times New Roman" w:hAnsi="Times New Roman" w:cs="Times New Roman"/>
                <w:lang w:val="uk-UA"/>
              </w:rPr>
              <w:t>Загальнодер</w:t>
            </w:r>
            <w:r w:rsidR="006A37E9" w:rsidRPr="00AE525F">
              <w:rPr>
                <w:rFonts w:ascii="Times New Roman" w:hAnsi="Times New Roman" w:cs="Times New Roman"/>
                <w:lang w:val="uk-UA"/>
              </w:rPr>
              <w:t>-</w:t>
            </w:r>
            <w:r w:rsidRPr="00AE525F">
              <w:rPr>
                <w:rFonts w:ascii="Times New Roman" w:hAnsi="Times New Roman" w:cs="Times New Roman"/>
                <w:lang w:val="uk-UA"/>
              </w:rPr>
              <w:t>жавні подат</w:t>
            </w:r>
            <w:r w:rsidR="006A37E9" w:rsidRPr="00AE525F">
              <w:rPr>
                <w:rFonts w:ascii="Times New Roman" w:hAnsi="Times New Roman" w:cs="Times New Roman"/>
                <w:lang w:val="uk-UA"/>
              </w:rPr>
              <w:t>-</w:t>
            </w:r>
            <w:r w:rsidRPr="00AE525F">
              <w:rPr>
                <w:rFonts w:ascii="Times New Roman" w:hAnsi="Times New Roman" w:cs="Times New Roman"/>
                <w:lang w:val="uk-UA"/>
              </w:rPr>
              <w:t xml:space="preserve">ки і збори, </w:t>
            </w:r>
            <w:r w:rsidRPr="00AE525F">
              <w:rPr>
                <w:rFonts w:ascii="Times New Roman" w:hAnsi="Times New Roman" w:cs="Times New Roman"/>
                <w:i/>
                <w:lang w:val="uk-UA"/>
              </w:rPr>
              <w:t>зокрема:</w:t>
            </w:r>
          </w:p>
        </w:tc>
        <w:tc>
          <w:tcPr>
            <w:tcW w:w="850" w:type="dxa"/>
            <w:vAlign w:val="bottom"/>
          </w:tcPr>
          <w:p w:rsidR="006A37E9" w:rsidRPr="00AE525F" w:rsidRDefault="006A37E9" w:rsidP="009555FE">
            <w:pPr>
              <w:jc w:val="center"/>
              <w:rPr>
                <w:rFonts w:ascii="Times New Roman" w:hAnsi="Times New Roman" w:cs="Times New Roman"/>
                <w:lang w:val="uk-UA"/>
              </w:rPr>
            </w:pPr>
          </w:p>
          <w:p w:rsidR="00A11DFE" w:rsidRPr="00AE525F" w:rsidRDefault="00A11DFE" w:rsidP="009555FE">
            <w:pPr>
              <w:jc w:val="center"/>
              <w:rPr>
                <w:rFonts w:ascii="Times New Roman" w:hAnsi="Times New Roman" w:cs="Times New Roman"/>
                <w:lang w:val="uk-UA"/>
              </w:rPr>
            </w:pPr>
            <w:r w:rsidRPr="00AE525F">
              <w:rPr>
                <w:rFonts w:ascii="Times New Roman" w:hAnsi="Times New Roman" w:cs="Times New Roman"/>
                <w:lang w:val="uk-UA"/>
              </w:rPr>
              <w:t>78,76</w:t>
            </w:r>
          </w:p>
        </w:tc>
        <w:tc>
          <w:tcPr>
            <w:tcW w:w="851" w:type="dxa"/>
            <w:vAlign w:val="bottom"/>
          </w:tcPr>
          <w:p w:rsidR="006A37E9" w:rsidRPr="00AE525F" w:rsidRDefault="006A37E9" w:rsidP="009555FE">
            <w:pPr>
              <w:jc w:val="center"/>
              <w:rPr>
                <w:rFonts w:ascii="Times New Roman" w:hAnsi="Times New Roman" w:cs="Times New Roman"/>
                <w:lang w:val="uk-UA"/>
              </w:rPr>
            </w:pPr>
          </w:p>
          <w:p w:rsidR="00A11DFE" w:rsidRPr="00AE525F" w:rsidRDefault="00A11DFE" w:rsidP="009555FE">
            <w:pPr>
              <w:jc w:val="center"/>
              <w:rPr>
                <w:rFonts w:ascii="Times New Roman" w:hAnsi="Times New Roman" w:cs="Times New Roman"/>
                <w:lang w:val="uk-UA"/>
              </w:rPr>
            </w:pPr>
            <w:r w:rsidRPr="00AE525F">
              <w:rPr>
                <w:rFonts w:ascii="Times New Roman" w:hAnsi="Times New Roman" w:cs="Times New Roman"/>
                <w:lang w:val="uk-UA"/>
              </w:rPr>
              <w:t>33,99</w:t>
            </w:r>
          </w:p>
        </w:tc>
        <w:tc>
          <w:tcPr>
            <w:tcW w:w="850" w:type="dxa"/>
            <w:vAlign w:val="bottom"/>
          </w:tcPr>
          <w:p w:rsidR="006A37E9" w:rsidRPr="00AE525F" w:rsidRDefault="006A37E9" w:rsidP="009555FE">
            <w:pPr>
              <w:jc w:val="center"/>
              <w:rPr>
                <w:rFonts w:ascii="Times New Roman" w:hAnsi="Times New Roman" w:cs="Times New Roman"/>
                <w:lang w:val="uk-UA"/>
              </w:rPr>
            </w:pPr>
          </w:p>
          <w:p w:rsidR="00A11DFE" w:rsidRPr="00AE525F" w:rsidRDefault="00A11DFE" w:rsidP="009555FE">
            <w:pPr>
              <w:jc w:val="center"/>
              <w:rPr>
                <w:rFonts w:ascii="Times New Roman" w:hAnsi="Times New Roman" w:cs="Times New Roman"/>
                <w:lang w:val="uk-UA"/>
              </w:rPr>
            </w:pPr>
            <w:r w:rsidRPr="00AE525F">
              <w:rPr>
                <w:rFonts w:ascii="Times New Roman" w:hAnsi="Times New Roman" w:cs="Times New Roman"/>
                <w:lang w:val="uk-UA"/>
              </w:rPr>
              <w:t>70,61</w:t>
            </w:r>
          </w:p>
        </w:tc>
        <w:tc>
          <w:tcPr>
            <w:tcW w:w="851" w:type="dxa"/>
            <w:vAlign w:val="bottom"/>
          </w:tcPr>
          <w:p w:rsidR="006A37E9" w:rsidRPr="00AE525F" w:rsidRDefault="006A37E9" w:rsidP="009555FE">
            <w:pPr>
              <w:jc w:val="center"/>
              <w:rPr>
                <w:rFonts w:ascii="Times New Roman" w:hAnsi="Times New Roman" w:cs="Times New Roman"/>
                <w:lang w:val="uk-UA"/>
              </w:rPr>
            </w:pPr>
          </w:p>
          <w:p w:rsidR="00A11DFE" w:rsidRPr="00AE525F" w:rsidRDefault="00A11DFE" w:rsidP="009555FE">
            <w:pPr>
              <w:jc w:val="center"/>
              <w:rPr>
                <w:rFonts w:ascii="Times New Roman" w:hAnsi="Times New Roman" w:cs="Times New Roman"/>
                <w:lang w:val="uk-UA"/>
              </w:rPr>
            </w:pPr>
            <w:r w:rsidRPr="00AE525F">
              <w:rPr>
                <w:rFonts w:ascii="Times New Roman" w:hAnsi="Times New Roman" w:cs="Times New Roman"/>
                <w:lang w:val="uk-UA"/>
              </w:rPr>
              <w:t>23,98</w:t>
            </w:r>
          </w:p>
        </w:tc>
        <w:tc>
          <w:tcPr>
            <w:tcW w:w="850" w:type="dxa"/>
            <w:vAlign w:val="bottom"/>
          </w:tcPr>
          <w:p w:rsidR="006A37E9" w:rsidRPr="00AE525F" w:rsidRDefault="006A37E9" w:rsidP="009555FE">
            <w:pPr>
              <w:jc w:val="center"/>
              <w:rPr>
                <w:rFonts w:ascii="Times New Roman" w:hAnsi="Times New Roman" w:cs="Times New Roman"/>
                <w:lang w:val="uk-UA"/>
              </w:rPr>
            </w:pPr>
          </w:p>
          <w:p w:rsidR="00A11DFE" w:rsidRPr="00AE525F" w:rsidRDefault="00A11DFE" w:rsidP="009555FE">
            <w:pPr>
              <w:jc w:val="center"/>
              <w:rPr>
                <w:rFonts w:ascii="Times New Roman" w:hAnsi="Times New Roman" w:cs="Times New Roman"/>
                <w:lang w:val="uk-UA"/>
              </w:rPr>
            </w:pPr>
            <w:r w:rsidRPr="00AE525F">
              <w:rPr>
                <w:rFonts w:ascii="Times New Roman" w:hAnsi="Times New Roman" w:cs="Times New Roman"/>
                <w:lang w:val="uk-UA"/>
              </w:rPr>
              <w:t>101,18</w:t>
            </w:r>
          </w:p>
        </w:tc>
        <w:tc>
          <w:tcPr>
            <w:tcW w:w="851" w:type="dxa"/>
            <w:vAlign w:val="bottom"/>
          </w:tcPr>
          <w:p w:rsidR="006A37E9" w:rsidRPr="00AE525F" w:rsidRDefault="006A37E9" w:rsidP="009555FE">
            <w:pPr>
              <w:jc w:val="center"/>
              <w:rPr>
                <w:rFonts w:ascii="Times New Roman" w:hAnsi="Times New Roman" w:cs="Times New Roman"/>
                <w:lang w:val="uk-UA"/>
              </w:rPr>
            </w:pPr>
          </w:p>
          <w:p w:rsidR="00A11DFE" w:rsidRPr="00AE525F" w:rsidRDefault="00A11DFE" w:rsidP="009555FE">
            <w:pPr>
              <w:jc w:val="center"/>
              <w:rPr>
                <w:rFonts w:ascii="Times New Roman" w:hAnsi="Times New Roman" w:cs="Times New Roman"/>
                <w:lang w:val="uk-UA"/>
              </w:rPr>
            </w:pPr>
            <w:r w:rsidRPr="00AE525F">
              <w:rPr>
                <w:rFonts w:ascii="Times New Roman" w:hAnsi="Times New Roman" w:cs="Times New Roman"/>
                <w:lang w:val="uk-UA"/>
              </w:rPr>
              <w:t>27,63</w:t>
            </w:r>
          </w:p>
        </w:tc>
        <w:tc>
          <w:tcPr>
            <w:tcW w:w="850" w:type="dxa"/>
            <w:vAlign w:val="bottom"/>
          </w:tcPr>
          <w:p w:rsidR="00A11DFE" w:rsidRPr="00AE525F" w:rsidRDefault="00A11DFE" w:rsidP="009555FE">
            <w:pPr>
              <w:jc w:val="center"/>
              <w:rPr>
                <w:rFonts w:ascii="Times New Roman" w:hAnsi="Times New Roman" w:cs="Times New Roman"/>
                <w:lang w:val="uk-UA"/>
              </w:rPr>
            </w:pPr>
          </w:p>
          <w:p w:rsidR="002C1D3F" w:rsidRPr="00AE525F" w:rsidRDefault="002C1D3F" w:rsidP="009555FE">
            <w:pPr>
              <w:jc w:val="center"/>
              <w:rPr>
                <w:rFonts w:ascii="Times New Roman" w:hAnsi="Times New Roman" w:cs="Times New Roman"/>
                <w:lang w:val="uk-UA"/>
              </w:rPr>
            </w:pPr>
            <w:r w:rsidRPr="00AE525F">
              <w:rPr>
                <w:rFonts w:ascii="Times New Roman" w:hAnsi="Times New Roman" w:cs="Times New Roman"/>
                <w:lang w:val="uk-UA"/>
              </w:rPr>
              <w:t>135,73</w:t>
            </w:r>
          </w:p>
        </w:tc>
        <w:tc>
          <w:tcPr>
            <w:tcW w:w="744" w:type="dxa"/>
            <w:vAlign w:val="bottom"/>
          </w:tcPr>
          <w:p w:rsidR="002C1D3F" w:rsidRPr="00AE525F" w:rsidRDefault="002C1D3F" w:rsidP="009555FE">
            <w:pPr>
              <w:jc w:val="center"/>
              <w:rPr>
                <w:rFonts w:ascii="Times New Roman" w:hAnsi="Times New Roman" w:cs="Times New Roman"/>
                <w:lang w:val="uk-UA"/>
              </w:rPr>
            </w:pPr>
          </w:p>
          <w:p w:rsidR="00A11DFE" w:rsidRPr="00AE525F" w:rsidRDefault="002C1D3F" w:rsidP="009555FE">
            <w:pPr>
              <w:jc w:val="center"/>
              <w:rPr>
                <w:rFonts w:ascii="Times New Roman" w:hAnsi="Times New Roman" w:cs="Times New Roman"/>
                <w:lang w:val="uk-UA"/>
              </w:rPr>
            </w:pPr>
            <w:r w:rsidRPr="00AE525F">
              <w:rPr>
                <w:rFonts w:ascii="Times New Roman" w:hAnsi="Times New Roman" w:cs="Times New Roman"/>
                <w:lang w:val="uk-UA"/>
              </w:rPr>
              <w:t>27,03</w:t>
            </w:r>
          </w:p>
        </w:tc>
        <w:tc>
          <w:tcPr>
            <w:tcW w:w="816" w:type="dxa"/>
            <w:vAlign w:val="bottom"/>
          </w:tcPr>
          <w:p w:rsidR="006A37E9" w:rsidRPr="00AE525F" w:rsidRDefault="006A37E9" w:rsidP="009555FE">
            <w:pPr>
              <w:jc w:val="center"/>
              <w:rPr>
                <w:rFonts w:ascii="Times New Roman" w:hAnsi="Times New Roman" w:cs="Times New Roman"/>
                <w:lang w:val="uk-UA"/>
              </w:rPr>
            </w:pPr>
          </w:p>
          <w:p w:rsidR="00A11DFE" w:rsidRPr="00AE525F" w:rsidRDefault="002C1D3F" w:rsidP="009555FE">
            <w:pPr>
              <w:jc w:val="center"/>
              <w:rPr>
                <w:rFonts w:ascii="Times New Roman" w:hAnsi="Times New Roman" w:cs="Times New Roman"/>
                <w:lang w:val="uk-UA"/>
              </w:rPr>
            </w:pPr>
            <w:r w:rsidRPr="00AE525F">
              <w:rPr>
                <w:rFonts w:ascii="Times New Roman" w:hAnsi="Times New Roman" w:cs="Times New Roman"/>
                <w:lang w:val="uk-UA"/>
              </w:rPr>
              <w:t>56,9</w:t>
            </w:r>
          </w:p>
        </w:tc>
        <w:tc>
          <w:tcPr>
            <w:tcW w:w="850" w:type="dxa"/>
            <w:vAlign w:val="bottom"/>
          </w:tcPr>
          <w:p w:rsidR="006A37E9" w:rsidRPr="00AE525F" w:rsidRDefault="006A37E9" w:rsidP="009555FE">
            <w:pPr>
              <w:jc w:val="center"/>
              <w:rPr>
                <w:rFonts w:ascii="Times New Roman" w:hAnsi="Times New Roman" w:cs="Times New Roman"/>
                <w:lang w:val="uk-UA"/>
              </w:rPr>
            </w:pPr>
          </w:p>
          <w:p w:rsidR="00A11DFE" w:rsidRPr="00AE525F" w:rsidRDefault="002C1D3F" w:rsidP="009555FE">
            <w:pPr>
              <w:jc w:val="center"/>
              <w:rPr>
                <w:rFonts w:ascii="Times New Roman" w:hAnsi="Times New Roman" w:cs="Times New Roman"/>
                <w:lang w:val="uk-UA"/>
              </w:rPr>
            </w:pPr>
            <w:r w:rsidRPr="00AE525F">
              <w:rPr>
                <w:rFonts w:ascii="Times New Roman" w:hAnsi="Times New Roman" w:cs="Times New Roman"/>
                <w:lang w:val="uk-UA"/>
              </w:rPr>
              <w:t>172,3</w:t>
            </w:r>
          </w:p>
        </w:tc>
      </w:tr>
      <w:tr w:rsidR="006A37E9" w:rsidRPr="00AE525F" w:rsidTr="00FE4717">
        <w:tc>
          <w:tcPr>
            <w:tcW w:w="1526" w:type="dxa"/>
          </w:tcPr>
          <w:p w:rsidR="00A11DFE" w:rsidRPr="00AE525F" w:rsidRDefault="00A11DFE" w:rsidP="00FF5B1F">
            <w:pPr>
              <w:jc w:val="both"/>
              <w:rPr>
                <w:rFonts w:ascii="Times New Roman" w:hAnsi="Times New Roman" w:cs="Times New Roman"/>
                <w:lang w:val="uk-UA"/>
              </w:rPr>
            </w:pPr>
            <w:r w:rsidRPr="00AE525F">
              <w:rPr>
                <w:rFonts w:ascii="Times New Roman" w:hAnsi="Times New Roman" w:cs="Times New Roman"/>
                <w:lang w:val="uk-UA"/>
              </w:rPr>
              <w:t>ПДФО</w:t>
            </w:r>
          </w:p>
        </w:tc>
        <w:tc>
          <w:tcPr>
            <w:tcW w:w="850"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62,56</w:t>
            </w:r>
          </w:p>
        </w:tc>
        <w:tc>
          <w:tcPr>
            <w:tcW w:w="851"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27,00</w:t>
            </w:r>
          </w:p>
        </w:tc>
        <w:tc>
          <w:tcPr>
            <w:tcW w:w="850"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54,92</w:t>
            </w:r>
          </w:p>
        </w:tc>
        <w:tc>
          <w:tcPr>
            <w:tcW w:w="851"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18,65</w:t>
            </w:r>
          </w:p>
        </w:tc>
        <w:tc>
          <w:tcPr>
            <w:tcW w:w="850"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78,97</w:t>
            </w:r>
          </w:p>
        </w:tc>
        <w:tc>
          <w:tcPr>
            <w:tcW w:w="851"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21,56</w:t>
            </w:r>
          </w:p>
        </w:tc>
        <w:tc>
          <w:tcPr>
            <w:tcW w:w="850" w:type="dxa"/>
          </w:tcPr>
          <w:p w:rsidR="00A11DFE" w:rsidRPr="00AE525F" w:rsidRDefault="002C1D3F" w:rsidP="00FF5B1F">
            <w:pPr>
              <w:jc w:val="center"/>
              <w:rPr>
                <w:rFonts w:ascii="Times New Roman" w:hAnsi="Times New Roman" w:cs="Times New Roman"/>
                <w:lang w:val="uk-UA"/>
              </w:rPr>
            </w:pPr>
            <w:r w:rsidRPr="00AE525F">
              <w:rPr>
                <w:rFonts w:ascii="Times New Roman" w:hAnsi="Times New Roman" w:cs="Times New Roman"/>
                <w:lang w:val="uk-UA"/>
              </w:rPr>
              <w:t>110,65</w:t>
            </w:r>
          </w:p>
        </w:tc>
        <w:tc>
          <w:tcPr>
            <w:tcW w:w="744" w:type="dxa"/>
          </w:tcPr>
          <w:p w:rsidR="00A11DFE" w:rsidRPr="00AE525F" w:rsidRDefault="002C1D3F" w:rsidP="00FF5B1F">
            <w:pPr>
              <w:jc w:val="center"/>
              <w:rPr>
                <w:rFonts w:ascii="Times New Roman" w:hAnsi="Times New Roman" w:cs="Times New Roman"/>
                <w:lang w:val="uk-UA"/>
              </w:rPr>
            </w:pPr>
            <w:r w:rsidRPr="00AE525F">
              <w:rPr>
                <w:rFonts w:ascii="Times New Roman" w:hAnsi="Times New Roman" w:cs="Times New Roman"/>
                <w:lang w:val="uk-UA"/>
              </w:rPr>
              <w:t>22,04</w:t>
            </w:r>
          </w:p>
        </w:tc>
        <w:tc>
          <w:tcPr>
            <w:tcW w:w="816" w:type="dxa"/>
          </w:tcPr>
          <w:p w:rsidR="00A11DFE" w:rsidRPr="00AE525F" w:rsidRDefault="002C1D3F" w:rsidP="00FF5B1F">
            <w:pPr>
              <w:jc w:val="center"/>
              <w:rPr>
                <w:rFonts w:ascii="Times New Roman" w:hAnsi="Times New Roman" w:cs="Times New Roman"/>
                <w:lang w:val="uk-UA"/>
              </w:rPr>
            </w:pPr>
            <w:r w:rsidRPr="00AE525F">
              <w:rPr>
                <w:rFonts w:ascii="Times New Roman" w:hAnsi="Times New Roman" w:cs="Times New Roman"/>
                <w:lang w:val="uk-UA"/>
              </w:rPr>
              <w:t>48,09</w:t>
            </w:r>
          </w:p>
        </w:tc>
        <w:tc>
          <w:tcPr>
            <w:tcW w:w="850" w:type="dxa"/>
          </w:tcPr>
          <w:p w:rsidR="00A11DFE" w:rsidRPr="00AE525F" w:rsidRDefault="002C1D3F" w:rsidP="00FF5B1F">
            <w:pPr>
              <w:jc w:val="center"/>
              <w:rPr>
                <w:rFonts w:ascii="Times New Roman" w:hAnsi="Times New Roman" w:cs="Times New Roman"/>
                <w:lang w:val="uk-UA"/>
              </w:rPr>
            </w:pPr>
            <w:r w:rsidRPr="00AE525F">
              <w:rPr>
                <w:rFonts w:ascii="Times New Roman" w:hAnsi="Times New Roman" w:cs="Times New Roman"/>
                <w:lang w:val="uk-UA"/>
              </w:rPr>
              <w:t>176,8</w:t>
            </w:r>
          </w:p>
        </w:tc>
      </w:tr>
      <w:tr w:rsidR="006A37E9" w:rsidRPr="00AE525F" w:rsidTr="00FE4717">
        <w:tc>
          <w:tcPr>
            <w:tcW w:w="1526" w:type="dxa"/>
          </w:tcPr>
          <w:p w:rsidR="00A11DFE" w:rsidRPr="00AE525F" w:rsidRDefault="00A11DFE" w:rsidP="00FF5B1F">
            <w:pPr>
              <w:jc w:val="both"/>
              <w:rPr>
                <w:rFonts w:ascii="Times New Roman" w:hAnsi="Times New Roman" w:cs="Times New Roman"/>
                <w:lang w:val="uk-UA"/>
              </w:rPr>
            </w:pPr>
            <w:r w:rsidRPr="00AE525F">
              <w:rPr>
                <w:rFonts w:ascii="Times New Roman" w:hAnsi="Times New Roman" w:cs="Times New Roman"/>
                <w:lang w:val="uk-UA"/>
              </w:rPr>
              <w:t>Податок на прибуток</w:t>
            </w:r>
          </w:p>
        </w:tc>
        <w:tc>
          <w:tcPr>
            <w:tcW w:w="850"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0,26</w:t>
            </w:r>
          </w:p>
        </w:tc>
        <w:tc>
          <w:tcPr>
            <w:tcW w:w="851"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0,11</w:t>
            </w:r>
          </w:p>
        </w:tc>
        <w:tc>
          <w:tcPr>
            <w:tcW w:w="850"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4,27</w:t>
            </w:r>
          </w:p>
        </w:tc>
        <w:tc>
          <w:tcPr>
            <w:tcW w:w="851"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1,45</w:t>
            </w:r>
          </w:p>
        </w:tc>
        <w:tc>
          <w:tcPr>
            <w:tcW w:w="850"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5,87</w:t>
            </w:r>
          </w:p>
        </w:tc>
        <w:tc>
          <w:tcPr>
            <w:tcW w:w="851"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1,60</w:t>
            </w:r>
          </w:p>
        </w:tc>
        <w:tc>
          <w:tcPr>
            <w:tcW w:w="850" w:type="dxa"/>
          </w:tcPr>
          <w:p w:rsidR="00A11DFE" w:rsidRPr="00AE525F" w:rsidRDefault="002C1D3F" w:rsidP="00FF5B1F">
            <w:pPr>
              <w:jc w:val="center"/>
              <w:rPr>
                <w:rFonts w:ascii="Times New Roman" w:hAnsi="Times New Roman" w:cs="Times New Roman"/>
                <w:lang w:val="uk-UA"/>
              </w:rPr>
            </w:pPr>
            <w:r w:rsidRPr="00AE525F">
              <w:rPr>
                <w:rFonts w:ascii="Times New Roman" w:hAnsi="Times New Roman" w:cs="Times New Roman"/>
                <w:lang w:val="uk-UA"/>
              </w:rPr>
              <w:t>6,48</w:t>
            </w:r>
          </w:p>
        </w:tc>
        <w:tc>
          <w:tcPr>
            <w:tcW w:w="744" w:type="dxa"/>
          </w:tcPr>
          <w:p w:rsidR="00A11DFE" w:rsidRPr="00AE525F" w:rsidRDefault="002C1D3F" w:rsidP="00FF5B1F">
            <w:pPr>
              <w:jc w:val="center"/>
              <w:rPr>
                <w:rFonts w:ascii="Times New Roman" w:hAnsi="Times New Roman" w:cs="Times New Roman"/>
                <w:lang w:val="uk-UA"/>
              </w:rPr>
            </w:pPr>
            <w:r w:rsidRPr="00AE525F">
              <w:rPr>
                <w:rFonts w:ascii="Times New Roman" w:hAnsi="Times New Roman" w:cs="Times New Roman"/>
                <w:lang w:val="uk-UA"/>
              </w:rPr>
              <w:t>1,29</w:t>
            </w:r>
          </w:p>
        </w:tc>
        <w:tc>
          <w:tcPr>
            <w:tcW w:w="816" w:type="dxa"/>
          </w:tcPr>
          <w:p w:rsidR="00A11DFE" w:rsidRPr="00AE525F" w:rsidRDefault="002C1D3F" w:rsidP="00FF5B1F">
            <w:pPr>
              <w:jc w:val="center"/>
              <w:rPr>
                <w:rFonts w:ascii="Times New Roman" w:hAnsi="Times New Roman" w:cs="Times New Roman"/>
                <w:lang w:val="uk-UA"/>
              </w:rPr>
            </w:pPr>
            <w:r w:rsidRPr="00AE525F">
              <w:rPr>
                <w:rFonts w:ascii="Times New Roman" w:hAnsi="Times New Roman" w:cs="Times New Roman"/>
                <w:lang w:val="uk-UA"/>
              </w:rPr>
              <w:t>6,22</w:t>
            </w:r>
          </w:p>
        </w:tc>
        <w:tc>
          <w:tcPr>
            <w:tcW w:w="850" w:type="dxa"/>
          </w:tcPr>
          <w:p w:rsidR="00A11DFE" w:rsidRPr="00AE525F" w:rsidRDefault="002C1D3F" w:rsidP="00FF5B1F">
            <w:pPr>
              <w:jc w:val="center"/>
              <w:rPr>
                <w:rFonts w:ascii="Times New Roman" w:hAnsi="Times New Roman" w:cs="Times New Roman"/>
                <w:lang w:val="uk-UA"/>
              </w:rPr>
            </w:pPr>
            <w:r w:rsidRPr="00AE525F">
              <w:rPr>
                <w:rFonts w:ascii="Times New Roman" w:hAnsi="Times New Roman" w:cs="Times New Roman"/>
                <w:lang w:val="uk-UA"/>
              </w:rPr>
              <w:t>24,9</w:t>
            </w:r>
          </w:p>
        </w:tc>
      </w:tr>
      <w:tr w:rsidR="006A37E9" w:rsidRPr="00AE525F" w:rsidTr="00FE4717">
        <w:tc>
          <w:tcPr>
            <w:tcW w:w="1526" w:type="dxa"/>
          </w:tcPr>
          <w:p w:rsidR="00A11DFE" w:rsidRPr="00AE525F" w:rsidRDefault="00A11DFE" w:rsidP="00FF5B1F">
            <w:pPr>
              <w:jc w:val="both"/>
              <w:rPr>
                <w:rFonts w:ascii="Times New Roman" w:hAnsi="Times New Roman" w:cs="Times New Roman"/>
                <w:lang w:val="uk-UA"/>
              </w:rPr>
            </w:pPr>
            <w:r w:rsidRPr="00AE525F">
              <w:rPr>
                <w:rFonts w:ascii="Times New Roman" w:hAnsi="Times New Roman" w:cs="Times New Roman"/>
                <w:lang w:val="uk-UA"/>
              </w:rPr>
              <w:t>Акцизний податок</w:t>
            </w:r>
          </w:p>
        </w:tc>
        <w:tc>
          <w:tcPr>
            <w:tcW w:w="850"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0,16</w:t>
            </w:r>
          </w:p>
        </w:tc>
        <w:tc>
          <w:tcPr>
            <w:tcW w:w="851"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0,07</w:t>
            </w:r>
          </w:p>
        </w:tc>
        <w:tc>
          <w:tcPr>
            <w:tcW w:w="850"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7,68</w:t>
            </w:r>
          </w:p>
        </w:tc>
        <w:tc>
          <w:tcPr>
            <w:tcW w:w="851"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2,61</w:t>
            </w:r>
          </w:p>
        </w:tc>
        <w:tc>
          <w:tcPr>
            <w:tcW w:w="850"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11,63</w:t>
            </w:r>
          </w:p>
        </w:tc>
        <w:tc>
          <w:tcPr>
            <w:tcW w:w="851"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3,17</w:t>
            </w:r>
          </w:p>
        </w:tc>
        <w:tc>
          <w:tcPr>
            <w:tcW w:w="850" w:type="dxa"/>
          </w:tcPr>
          <w:p w:rsidR="00A11DFE" w:rsidRPr="00AE525F" w:rsidRDefault="002C1D3F" w:rsidP="00FF5B1F">
            <w:pPr>
              <w:jc w:val="center"/>
              <w:rPr>
                <w:rFonts w:ascii="Times New Roman" w:hAnsi="Times New Roman" w:cs="Times New Roman"/>
                <w:lang w:val="uk-UA"/>
              </w:rPr>
            </w:pPr>
            <w:r w:rsidRPr="00AE525F">
              <w:rPr>
                <w:rFonts w:ascii="Times New Roman" w:hAnsi="Times New Roman" w:cs="Times New Roman"/>
                <w:lang w:val="uk-UA"/>
              </w:rPr>
              <w:t>13,15</w:t>
            </w:r>
          </w:p>
        </w:tc>
        <w:tc>
          <w:tcPr>
            <w:tcW w:w="744" w:type="dxa"/>
          </w:tcPr>
          <w:p w:rsidR="00A11DFE" w:rsidRPr="00AE525F" w:rsidRDefault="002C1D3F" w:rsidP="00FF5B1F">
            <w:pPr>
              <w:jc w:val="center"/>
              <w:rPr>
                <w:rFonts w:ascii="Times New Roman" w:hAnsi="Times New Roman" w:cs="Times New Roman"/>
                <w:lang w:val="uk-UA"/>
              </w:rPr>
            </w:pPr>
            <w:r w:rsidRPr="00AE525F">
              <w:rPr>
                <w:rFonts w:ascii="Times New Roman" w:hAnsi="Times New Roman" w:cs="Times New Roman"/>
                <w:lang w:val="uk-UA"/>
              </w:rPr>
              <w:t>2,62</w:t>
            </w:r>
          </w:p>
        </w:tc>
        <w:tc>
          <w:tcPr>
            <w:tcW w:w="816" w:type="dxa"/>
          </w:tcPr>
          <w:p w:rsidR="00A11DFE" w:rsidRPr="00AE525F" w:rsidRDefault="002C1D3F" w:rsidP="00FF5B1F">
            <w:pPr>
              <w:jc w:val="center"/>
              <w:rPr>
                <w:rFonts w:ascii="Times New Roman" w:hAnsi="Times New Roman" w:cs="Times New Roman"/>
                <w:lang w:val="uk-UA"/>
              </w:rPr>
            </w:pPr>
            <w:r w:rsidRPr="00AE525F">
              <w:rPr>
                <w:rFonts w:ascii="Times New Roman" w:hAnsi="Times New Roman" w:cs="Times New Roman"/>
                <w:lang w:val="uk-UA"/>
              </w:rPr>
              <w:t>12,99</w:t>
            </w:r>
          </w:p>
        </w:tc>
        <w:tc>
          <w:tcPr>
            <w:tcW w:w="850" w:type="dxa"/>
          </w:tcPr>
          <w:p w:rsidR="00A11DFE" w:rsidRPr="00AE525F" w:rsidRDefault="002C1D3F" w:rsidP="00FF5B1F">
            <w:pPr>
              <w:jc w:val="center"/>
              <w:rPr>
                <w:rFonts w:ascii="Times New Roman" w:hAnsi="Times New Roman" w:cs="Times New Roman"/>
                <w:lang w:val="uk-UA"/>
              </w:rPr>
            </w:pPr>
            <w:r w:rsidRPr="00AE525F">
              <w:rPr>
                <w:rFonts w:ascii="Times New Roman" w:hAnsi="Times New Roman" w:cs="Times New Roman"/>
                <w:lang w:val="uk-UA"/>
              </w:rPr>
              <w:t>822,2</w:t>
            </w:r>
          </w:p>
        </w:tc>
      </w:tr>
      <w:tr w:rsidR="006A37E9" w:rsidRPr="00AE525F" w:rsidTr="00FE4717">
        <w:tc>
          <w:tcPr>
            <w:tcW w:w="1526" w:type="dxa"/>
          </w:tcPr>
          <w:p w:rsidR="00A11DFE" w:rsidRPr="00AE525F" w:rsidRDefault="00A11DFE" w:rsidP="00FF5B1F">
            <w:pPr>
              <w:jc w:val="both"/>
              <w:rPr>
                <w:rFonts w:ascii="Times New Roman" w:hAnsi="Times New Roman" w:cs="Times New Roman"/>
                <w:lang w:val="uk-UA"/>
              </w:rPr>
            </w:pPr>
            <w:r w:rsidRPr="00AE525F">
              <w:rPr>
                <w:rFonts w:ascii="Times New Roman" w:hAnsi="Times New Roman" w:cs="Times New Roman"/>
                <w:lang w:val="uk-UA"/>
              </w:rPr>
              <w:t>Рентна плата</w:t>
            </w:r>
          </w:p>
        </w:tc>
        <w:tc>
          <w:tcPr>
            <w:tcW w:w="850"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14,56</w:t>
            </w:r>
          </w:p>
        </w:tc>
        <w:tc>
          <w:tcPr>
            <w:tcW w:w="851"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6,28</w:t>
            </w:r>
          </w:p>
        </w:tc>
        <w:tc>
          <w:tcPr>
            <w:tcW w:w="850"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2,15</w:t>
            </w:r>
          </w:p>
        </w:tc>
        <w:tc>
          <w:tcPr>
            <w:tcW w:w="851"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0,73</w:t>
            </w:r>
          </w:p>
        </w:tc>
        <w:tc>
          <w:tcPr>
            <w:tcW w:w="850"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2,52</w:t>
            </w:r>
          </w:p>
        </w:tc>
        <w:tc>
          <w:tcPr>
            <w:tcW w:w="851"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0,69</w:t>
            </w:r>
          </w:p>
        </w:tc>
        <w:tc>
          <w:tcPr>
            <w:tcW w:w="850" w:type="dxa"/>
          </w:tcPr>
          <w:p w:rsidR="00A11DFE" w:rsidRPr="00AE525F" w:rsidRDefault="002C1D3F" w:rsidP="00FF5B1F">
            <w:pPr>
              <w:jc w:val="center"/>
              <w:rPr>
                <w:rFonts w:ascii="Times New Roman" w:hAnsi="Times New Roman" w:cs="Times New Roman"/>
                <w:lang w:val="uk-UA"/>
              </w:rPr>
            </w:pPr>
            <w:r w:rsidRPr="00AE525F">
              <w:rPr>
                <w:rFonts w:ascii="Times New Roman" w:hAnsi="Times New Roman" w:cs="Times New Roman"/>
                <w:lang w:val="uk-UA"/>
              </w:rPr>
              <w:t>2,47</w:t>
            </w:r>
          </w:p>
        </w:tc>
        <w:tc>
          <w:tcPr>
            <w:tcW w:w="744" w:type="dxa"/>
          </w:tcPr>
          <w:p w:rsidR="00A11DFE" w:rsidRPr="00AE525F" w:rsidRDefault="002C1D3F" w:rsidP="00FF5B1F">
            <w:pPr>
              <w:jc w:val="center"/>
              <w:rPr>
                <w:rFonts w:ascii="Times New Roman" w:hAnsi="Times New Roman" w:cs="Times New Roman"/>
                <w:lang w:val="uk-UA"/>
              </w:rPr>
            </w:pPr>
            <w:r w:rsidRPr="00AE525F">
              <w:rPr>
                <w:rFonts w:ascii="Times New Roman" w:hAnsi="Times New Roman" w:cs="Times New Roman"/>
                <w:lang w:val="uk-UA"/>
              </w:rPr>
              <w:t>0,49</w:t>
            </w:r>
          </w:p>
        </w:tc>
        <w:tc>
          <w:tcPr>
            <w:tcW w:w="816" w:type="dxa"/>
          </w:tcPr>
          <w:p w:rsidR="00A11DFE" w:rsidRPr="00AE525F" w:rsidRDefault="00A11DFE" w:rsidP="002C1D3F">
            <w:pPr>
              <w:jc w:val="center"/>
              <w:rPr>
                <w:rFonts w:ascii="Times New Roman" w:hAnsi="Times New Roman" w:cs="Times New Roman"/>
                <w:lang w:val="uk-UA"/>
              </w:rPr>
            </w:pPr>
            <w:r w:rsidRPr="00AE525F">
              <w:rPr>
                <w:rFonts w:ascii="Times New Roman" w:hAnsi="Times New Roman" w:cs="Times New Roman"/>
                <w:lang w:val="uk-UA"/>
              </w:rPr>
              <w:t>-12,0</w:t>
            </w:r>
            <w:r w:rsidR="002C1D3F" w:rsidRPr="00AE525F">
              <w:rPr>
                <w:rFonts w:ascii="Times New Roman" w:hAnsi="Times New Roman" w:cs="Times New Roman"/>
                <w:lang w:val="uk-UA"/>
              </w:rPr>
              <w:t>9</w:t>
            </w:r>
          </w:p>
        </w:tc>
        <w:tc>
          <w:tcPr>
            <w:tcW w:w="850" w:type="dxa"/>
          </w:tcPr>
          <w:p w:rsidR="00A11DFE" w:rsidRPr="00AE525F" w:rsidRDefault="002C1D3F" w:rsidP="00FF5B1F">
            <w:pPr>
              <w:jc w:val="center"/>
              <w:rPr>
                <w:rFonts w:ascii="Times New Roman" w:hAnsi="Times New Roman" w:cs="Times New Roman"/>
                <w:lang w:val="uk-UA"/>
              </w:rPr>
            </w:pPr>
            <w:r w:rsidRPr="00AE525F">
              <w:rPr>
                <w:rFonts w:ascii="Times New Roman" w:hAnsi="Times New Roman" w:cs="Times New Roman"/>
                <w:lang w:val="uk-UA"/>
              </w:rPr>
              <w:t>16,9</w:t>
            </w:r>
          </w:p>
        </w:tc>
      </w:tr>
      <w:tr w:rsidR="006A37E9" w:rsidRPr="00AE525F" w:rsidTr="00FE4717">
        <w:tc>
          <w:tcPr>
            <w:tcW w:w="1526" w:type="dxa"/>
          </w:tcPr>
          <w:p w:rsidR="00A11DFE" w:rsidRPr="00AE525F" w:rsidRDefault="00A11DFE" w:rsidP="00FF5B1F">
            <w:pPr>
              <w:jc w:val="both"/>
              <w:rPr>
                <w:rFonts w:ascii="Times New Roman" w:hAnsi="Times New Roman" w:cs="Times New Roman"/>
                <w:lang w:val="uk-UA"/>
              </w:rPr>
            </w:pPr>
            <w:r w:rsidRPr="00AE525F">
              <w:rPr>
                <w:rFonts w:ascii="Times New Roman" w:hAnsi="Times New Roman" w:cs="Times New Roman"/>
                <w:lang w:val="uk-UA"/>
              </w:rPr>
              <w:t>Екологічний податок</w:t>
            </w:r>
          </w:p>
        </w:tc>
        <w:tc>
          <w:tcPr>
            <w:tcW w:w="850"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1,22</w:t>
            </w:r>
          </w:p>
        </w:tc>
        <w:tc>
          <w:tcPr>
            <w:tcW w:w="851"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0,53</w:t>
            </w:r>
          </w:p>
        </w:tc>
        <w:tc>
          <w:tcPr>
            <w:tcW w:w="850"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1,59</w:t>
            </w:r>
          </w:p>
        </w:tc>
        <w:tc>
          <w:tcPr>
            <w:tcW w:w="851"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0,54</w:t>
            </w:r>
          </w:p>
        </w:tc>
        <w:tc>
          <w:tcPr>
            <w:tcW w:w="850"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3,37</w:t>
            </w:r>
          </w:p>
        </w:tc>
        <w:tc>
          <w:tcPr>
            <w:tcW w:w="851" w:type="dxa"/>
          </w:tcPr>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0,92</w:t>
            </w:r>
          </w:p>
        </w:tc>
        <w:tc>
          <w:tcPr>
            <w:tcW w:w="850" w:type="dxa"/>
          </w:tcPr>
          <w:p w:rsidR="00A11DFE" w:rsidRPr="00AE525F" w:rsidRDefault="002C1D3F" w:rsidP="00FF5B1F">
            <w:pPr>
              <w:jc w:val="center"/>
              <w:rPr>
                <w:rFonts w:ascii="Times New Roman" w:hAnsi="Times New Roman" w:cs="Times New Roman"/>
                <w:lang w:val="uk-UA"/>
              </w:rPr>
            </w:pPr>
            <w:r w:rsidRPr="00AE525F">
              <w:rPr>
                <w:rFonts w:ascii="Times New Roman" w:hAnsi="Times New Roman" w:cs="Times New Roman"/>
                <w:lang w:val="uk-UA"/>
              </w:rPr>
              <w:t>2,98</w:t>
            </w:r>
          </w:p>
        </w:tc>
        <w:tc>
          <w:tcPr>
            <w:tcW w:w="744" w:type="dxa"/>
          </w:tcPr>
          <w:p w:rsidR="00A11DFE" w:rsidRPr="00AE525F" w:rsidRDefault="002C1D3F" w:rsidP="00FF5B1F">
            <w:pPr>
              <w:jc w:val="center"/>
              <w:rPr>
                <w:rFonts w:ascii="Times New Roman" w:hAnsi="Times New Roman" w:cs="Times New Roman"/>
                <w:lang w:val="uk-UA"/>
              </w:rPr>
            </w:pPr>
            <w:r w:rsidRPr="00AE525F">
              <w:rPr>
                <w:rFonts w:ascii="Times New Roman" w:hAnsi="Times New Roman" w:cs="Times New Roman"/>
                <w:lang w:val="uk-UA"/>
              </w:rPr>
              <w:t>0,59</w:t>
            </w:r>
          </w:p>
        </w:tc>
        <w:tc>
          <w:tcPr>
            <w:tcW w:w="816" w:type="dxa"/>
          </w:tcPr>
          <w:p w:rsidR="00A11DFE" w:rsidRPr="00AE525F" w:rsidRDefault="002C1D3F" w:rsidP="00FF5B1F">
            <w:pPr>
              <w:jc w:val="center"/>
              <w:rPr>
                <w:rFonts w:ascii="Times New Roman" w:hAnsi="Times New Roman" w:cs="Times New Roman"/>
                <w:lang w:val="uk-UA"/>
              </w:rPr>
            </w:pPr>
            <w:r w:rsidRPr="00AE525F">
              <w:rPr>
                <w:rFonts w:ascii="Times New Roman" w:hAnsi="Times New Roman" w:cs="Times New Roman"/>
                <w:lang w:val="uk-UA"/>
              </w:rPr>
              <w:t>1,76</w:t>
            </w:r>
          </w:p>
        </w:tc>
        <w:tc>
          <w:tcPr>
            <w:tcW w:w="850" w:type="dxa"/>
          </w:tcPr>
          <w:p w:rsidR="00A11DFE" w:rsidRPr="00AE525F" w:rsidRDefault="002C1D3F" w:rsidP="00FF5B1F">
            <w:pPr>
              <w:jc w:val="center"/>
              <w:rPr>
                <w:rFonts w:ascii="Times New Roman" w:hAnsi="Times New Roman" w:cs="Times New Roman"/>
                <w:lang w:val="uk-UA"/>
              </w:rPr>
            </w:pPr>
            <w:r w:rsidRPr="00AE525F">
              <w:rPr>
                <w:rFonts w:ascii="Times New Roman" w:hAnsi="Times New Roman" w:cs="Times New Roman"/>
                <w:lang w:val="uk-UA"/>
              </w:rPr>
              <w:t>244,2</w:t>
            </w:r>
          </w:p>
        </w:tc>
      </w:tr>
      <w:tr w:rsidR="006A37E9" w:rsidRPr="00AE525F" w:rsidTr="00FE4717">
        <w:tc>
          <w:tcPr>
            <w:tcW w:w="1526" w:type="dxa"/>
          </w:tcPr>
          <w:p w:rsidR="00A11DFE" w:rsidRPr="00AE525F" w:rsidRDefault="00A11DFE" w:rsidP="00857E29">
            <w:pPr>
              <w:jc w:val="both"/>
              <w:rPr>
                <w:rFonts w:ascii="Times New Roman" w:hAnsi="Times New Roman" w:cs="Times New Roman"/>
                <w:i/>
                <w:lang w:val="uk-UA"/>
              </w:rPr>
            </w:pPr>
            <w:r w:rsidRPr="00AE525F">
              <w:rPr>
                <w:rFonts w:ascii="Times New Roman" w:hAnsi="Times New Roman" w:cs="Times New Roman"/>
                <w:i/>
                <w:lang w:val="uk-UA"/>
              </w:rPr>
              <w:t>частка заг</w:t>
            </w:r>
            <w:r w:rsidR="00857E29" w:rsidRPr="00AE525F">
              <w:rPr>
                <w:rFonts w:ascii="Times New Roman" w:hAnsi="Times New Roman" w:cs="Times New Roman"/>
                <w:i/>
                <w:lang w:val="uk-UA"/>
              </w:rPr>
              <w:t xml:space="preserve">. </w:t>
            </w:r>
            <w:r w:rsidRPr="00AE525F">
              <w:rPr>
                <w:rFonts w:ascii="Times New Roman" w:hAnsi="Times New Roman" w:cs="Times New Roman"/>
                <w:i/>
                <w:lang w:val="uk-UA"/>
              </w:rPr>
              <w:t>держ</w:t>
            </w:r>
            <w:r w:rsidR="00AC518E" w:rsidRPr="00AE525F">
              <w:rPr>
                <w:rFonts w:ascii="Times New Roman" w:hAnsi="Times New Roman" w:cs="Times New Roman"/>
                <w:i/>
                <w:lang w:val="uk-UA"/>
              </w:rPr>
              <w:t>.</w:t>
            </w:r>
            <w:r w:rsidRPr="00AE525F">
              <w:rPr>
                <w:rFonts w:ascii="Times New Roman" w:hAnsi="Times New Roman" w:cs="Times New Roman"/>
                <w:i/>
                <w:lang w:val="uk-UA"/>
              </w:rPr>
              <w:t xml:space="preserve"> пода</w:t>
            </w:r>
            <w:r w:rsidR="006A37E9" w:rsidRPr="00AE525F">
              <w:rPr>
                <w:rFonts w:ascii="Times New Roman" w:hAnsi="Times New Roman" w:cs="Times New Roman"/>
                <w:i/>
                <w:lang w:val="uk-UA"/>
              </w:rPr>
              <w:t>-</w:t>
            </w:r>
            <w:r w:rsidRPr="00AE525F">
              <w:rPr>
                <w:rFonts w:ascii="Times New Roman" w:hAnsi="Times New Roman" w:cs="Times New Roman"/>
                <w:i/>
                <w:lang w:val="uk-UA"/>
              </w:rPr>
              <w:t xml:space="preserve">тків і зборів у податкових </w:t>
            </w:r>
            <w:r w:rsidR="00AC518E" w:rsidRPr="00AE525F">
              <w:rPr>
                <w:rFonts w:ascii="Times New Roman" w:hAnsi="Times New Roman" w:cs="Times New Roman"/>
                <w:i/>
                <w:lang w:val="uk-UA"/>
              </w:rPr>
              <w:t>надходжен</w:t>
            </w:r>
            <w:r w:rsidR="00857E29" w:rsidRPr="00AE525F">
              <w:rPr>
                <w:rFonts w:ascii="Times New Roman" w:hAnsi="Times New Roman" w:cs="Times New Roman"/>
                <w:i/>
                <w:lang w:val="uk-UA"/>
              </w:rPr>
              <w:t>-</w:t>
            </w:r>
            <w:r w:rsidRPr="00AE525F">
              <w:rPr>
                <w:rFonts w:ascii="Times New Roman" w:hAnsi="Times New Roman" w:cs="Times New Roman"/>
                <w:i/>
                <w:lang w:val="uk-UA"/>
              </w:rPr>
              <w:t>нях місцевих бюджетів, %</w:t>
            </w:r>
          </w:p>
        </w:tc>
        <w:tc>
          <w:tcPr>
            <w:tcW w:w="850" w:type="dxa"/>
          </w:tcPr>
          <w:p w:rsidR="00A11DFE" w:rsidRPr="00AE525F" w:rsidRDefault="00A11DFE" w:rsidP="00FF5B1F">
            <w:pPr>
              <w:jc w:val="center"/>
              <w:rPr>
                <w:rFonts w:ascii="Times New Roman" w:hAnsi="Times New Roman" w:cs="Times New Roman"/>
                <w:lang w:val="uk-UA"/>
              </w:rPr>
            </w:pPr>
          </w:p>
          <w:p w:rsidR="00A11DFE" w:rsidRPr="00AE525F" w:rsidRDefault="00A11DFE" w:rsidP="00FF5B1F">
            <w:pPr>
              <w:jc w:val="center"/>
              <w:rPr>
                <w:rFonts w:ascii="Times New Roman" w:hAnsi="Times New Roman" w:cs="Times New Roman"/>
                <w:lang w:val="uk-UA"/>
              </w:rPr>
            </w:pPr>
          </w:p>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w:t>
            </w:r>
          </w:p>
        </w:tc>
        <w:tc>
          <w:tcPr>
            <w:tcW w:w="851" w:type="dxa"/>
          </w:tcPr>
          <w:p w:rsidR="00A11DFE" w:rsidRPr="00AE525F" w:rsidRDefault="00A11DFE" w:rsidP="00FF5B1F">
            <w:pPr>
              <w:jc w:val="center"/>
              <w:rPr>
                <w:rFonts w:ascii="Times New Roman" w:hAnsi="Times New Roman" w:cs="Times New Roman"/>
                <w:lang w:val="uk-UA"/>
              </w:rPr>
            </w:pPr>
          </w:p>
          <w:p w:rsidR="00A11DFE" w:rsidRPr="00AE525F" w:rsidRDefault="00A11DFE" w:rsidP="00FF5B1F">
            <w:pPr>
              <w:jc w:val="center"/>
              <w:rPr>
                <w:rFonts w:ascii="Times New Roman" w:hAnsi="Times New Roman" w:cs="Times New Roman"/>
                <w:lang w:val="uk-UA"/>
              </w:rPr>
            </w:pPr>
          </w:p>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90,18</w:t>
            </w:r>
          </w:p>
        </w:tc>
        <w:tc>
          <w:tcPr>
            <w:tcW w:w="850" w:type="dxa"/>
          </w:tcPr>
          <w:p w:rsidR="00A11DFE" w:rsidRPr="00AE525F" w:rsidRDefault="00A11DFE" w:rsidP="00FF5B1F">
            <w:pPr>
              <w:jc w:val="center"/>
              <w:rPr>
                <w:rFonts w:ascii="Times New Roman" w:hAnsi="Times New Roman" w:cs="Times New Roman"/>
                <w:lang w:val="uk-UA"/>
              </w:rPr>
            </w:pPr>
          </w:p>
          <w:p w:rsidR="00A11DFE" w:rsidRPr="00AE525F" w:rsidRDefault="00A11DFE" w:rsidP="00FF5B1F">
            <w:pPr>
              <w:jc w:val="center"/>
              <w:rPr>
                <w:rFonts w:ascii="Times New Roman" w:hAnsi="Times New Roman" w:cs="Times New Roman"/>
                <w:lang w:val="uk-UA"/>
              </w:rPr>
            </w:pPr>
          </w:p>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w:t>
            </w:r>
          </w:p>
        </w:tc>
        <w:tc>
          <w:tcPr>
            <w:tcW w:w="851" w:type="dxa"/>
          </w:tcPr>
          <w:p w:rsidR="00A11DFE" w:rsidRPr="00AE525F" w:rsidRDefault="00A11DFE" w:rsidP="00FF5B1F">
            <w:pPr>
              <w:jc w:val="center"/>
              <w:rPr>
                <w:rFonts w:ascii="Times New Roman" w:hAnsi="Times New Roman" w:cs="Times New Roman"/>
                <w:lang w:val="uk-UA"/>
              </w:rPr>
            </w:pPr>
          </w:p>
          <w:p w:rsidR="00A11DFE" w:rsidRPr="00AE525F" w:rsidRDefault="00A11DFE" w:rsidP="00FF5B1F">
            <w:pPr>
              <w:jc w:val="center"/>
              <w:rPr>
                <w:rFonts w:ascii="Times New Roman" w:hAnsi="Times New Roman" w:cs="Times New Roman"/>
                <w:lang w:val="uk-UA"/>
              </w:rPr>
            </w:pPr>
          </w:p>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71,88</w:t>
            </w:r>
          </w:p>
        </w:tc>
        <w:tc>
          <w:tcPr>
            <w:tcW w:w="850" w:type="dxa"/>
          </w:tcPr>
          <w:p w:rsidR="00A11DFE" w:rsidRPr="00AE525F" w:rsidRDefault="00A11DFE" w:rsidP="00FF5B1F">
            <w:pPr>
              <w:jc w:val="center"/>
              <w:rPr>
                <w:rFonts w:ascii="Times New Roman" w:hAnsi="Times New Roman" w:cs="Times New Roman"/>
                <w:lang w:val="uk-UA"/>
              </w:rPr>
            </w:pPr>
          </w:p>
          <w:p w:rsidR="00A11DFE" w:rsidRPr="00AE525F" w:rsidRDefault="00A11DFE" w:rsidP="00FF5B1F">
            <w:pPr>
              <w:jc w:val="center"/>
              <w:rPr>
                <w:rFonts w:ascii="Times New Roman" w:hAnsi="Times New Roman" w:cs="Times New Roman"/>
                <w:lang w:val="uk-UA"/>
              </w:rPr>
            </w:pPr>
          </w:p>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w:t>
            </w:r>
          </w:p>
        </w:tc>
        <w:tc>
          <w:tcPr>
            <w:tcW w:w="851" w:type="dxa"/>
          </w:tcPr>
          <w:p w:rsidR="00A11DFE" w:rsidRPr="00AE525F" w:rsidRDefault="00A11DFE" w:rsidP="00FF5B1F">
            <w:pPr>
              <w:jc w:val="center"/>
              <w:rPr>
                <w:rFonts w:ascii="Times New Roman" w:hAnsi="Times New Roman" w:cs="Times New Roman"/>
                <w:lang w:val="uk-UA"/>
              </w:rPr>
            </w:pPr>
          </w:p>
          <w:p w:rsidR="00A11DFE" w:rsidRPr="00AE525F" w:rsidRDefault="00A11DFE" w:rsidP="00FF5B1F">
            <w:pPr>
              <w:jc w:val="center"/>
              <w:rPr>
                <w:rFonts w:ascii="Times New Roman" w:hAnsi="Times New Roman" w:cs="Times New Roman"/>
                <w:lang w:val="uk-UA"/>
              </w:rPr>
            </w:pPr>
          </w:p>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68,87</w:t>
            </w:r>
          </w:p>
        </w:tc>
        <w:tc>
          <w:tcPr>
            <w:tcW w:w="850" w:type="dxa"/>
          </w:tcPr>
          <w:p w:rsidR="00A11DFE" w:rsidRPr="00AE525F" w:rsidRDefault="00A11DFE" w:rsidP="00FF5B1F">
            <w:pPr>
              <w:jc w:val="center"/>
              <w:rPr>
                <w:rFonts w:ascii="Times New Roman" w:hAnsi="Times New Roman" w:cs="Times New Roman"/>
                <w:lang w:val="uk-UA"/>
              </w:rPr>
            </w:pPr>
          </w:p>
          <w:p w:rsidR="002C1D3F" w:rsidRPr="00AE525F" w:rsidRDefault="002C1D3F" w:rsidP="00FF5B1F">
            <w:pPr>
              <w:jc w:val="center"/>
              <w:rPr>
                <w:rFonts w:ascii="Times New Roman" w:hAnsi="Times New Roman" w:cs="Times New Roman"/>
                <w:lang w:val="uk-UA"/>
              </w:rPr>
            </w:pPr>
          </w:p>
          <w:p w:rsidR="002C1D3F" w:rsidRPr="00AE525F" w:rsidRDefault="002C1D3F" w:rsidP="00FF5B1F">
            <w:pPr>
              <w:jc w:val="center"/>
              <w:rPr>
                <w:rFonts w:ascii="Times New Roman" w:hAnsi="Times New Roman" w:cs="Times New Roman"/>
                <w:lang w:val="uk-UA"/>
              </w:rPr>
            </w:pPr>
            <w:r w:rsidRPr="00AE525F">
              <w:rPr>
                <w:rFonts w:ascii="Times New Roman" w:hAnsi="Times New Roman" w:cs="Times New Roman"/>
                <w:lang w:val="uk-UA"/>
              </w:rPr>
              <w:t>–</w:t>
            </w:r>
          </w:p>
        </w:tc>
        <w:tc>
          <w:tcPr>
            <w:tcW w:w="744" w:type="dxa"/>
          </w:tcPr>
          <w:p w:rsidR="00A11DFE" w:rsidRPr="00AE525F" w:rsidRDefault="00A11DFE" w:rsidP="00FF5B1F">
            <w:pPr>
              <w:jc w:val="center"/>
              <w:rPr>
                <w:rFonts w:ascii="Times New Roman" w:hAnsi="Times New Roman" w:cs="Times New Roman"/>
                <w:lang w:val="uk-UA"/>
              </w:rPr>
            </w:pPr>
          </w:p>
          <w:p w:rsidR="002C1D3F" w:rsidRPr="00AE525F" w:rsidRDefault="002C1D3F" w:rsidP="00FF5B1F">
            <w:pPr>
              <w:jc w:val="center"/>
              <w:rPr>
                <w:rFonts w:ascii="Times New Roman" w:hAnsi="Times New Roman" w:cs="Times New Roman"/>
                <w:lang w:val="uk-UA"/>
              </w:rPr>
            </w:pPr>
          </w:p>
          <w:p w:rsidR="002C1D3F" w:rsidRPr="00AE525F" w:rsidRDefault="002C1D3F" w:rsidP="00FF5B1F">
            <w:pPr>
              <w:jc w:val="center"/>
              <w:rPr>
                <w:rFonts w:ascii="Times New Roman" w:hAnsi="Times New Roman" w:cs="Times New Roman"/>
                <w:lang w:val="uk-UA"/>
              </w:rPr>
            </w:pPr>
            <w:r w:rsidRPr="00AE525F">
              <w:rPr>
                <w:rFonts w:ascii="Times New Roman" w:hAnsi="Times New Roman" w:cs="Times New Roman"/>
                <w:lang w:val="uk-UA"/>
              </w:rPr>
              <w:t>67,52</w:t>
            </w:r>
          </w:p>
        </w:tc>
        <w:tc>
          <w:tcPr>
            <w:tcW w:w="816" w:type="dxa"/>
          </w:tcPr>
          <w:p w:rsidR="00A11DFE" w:rsidRPr="00AE525F" w:rsidRDefault="00A11DFE" w:rsidP="00FF5B1F">
            <w:pPr>
              <w:jc w:val="center"/>
              <w:rPr>
                <w:rFonts w:ascii="Times New Roman" w:hAnsi="Times New Roman" w:cs="Times New Roman"/>
                <w:lang w:val="uk-UA"/>
              </w:rPr>
            </w:pPr>
          </w:p>
          <w:p w:rsidR="00A11DFE" w:rsidRPr="00AE525F" w:rsidRDefault="00A11DFE" w:rsidP="00FF5B1F">
            <w:pPr>
              <w:jc w:val="center"/>
              <w:rPr>
                <w:rFonts w:ascii="Times New Roman" w:hAnsi="Times New Roman" w:cs="Times New Roman"/>
                <w:lang w:val="uk-UA"/>
              </w:rPr>
            </w:pPr>
          </w:p>
          <w:p w:rsidR="00A11DFE" w:rsidRPr="00AE525F" w:rsidRDefault="00A11DFE" w:rsidP="00FF5B1F">
            <w:pPr>
              <w:jc w:val="center"/>
              <w:rPr>
                <w:rFonts w:ascii="Times New Roman" w:hAnsi="Times New Roman" w:cs="Times New Roman"/>
                <w:lang w:val="uk-UA"/>
              </w:rPr>
            </w:pPr>
            <w:r w:rsidRPr="00AE525F">
              <w:rPr>
                <w:rFonts w:ascii="Times New Roman" w:hAnsi="Times New Roman" w:cs="Times New Roman"/>
                <w:lang w:val="uk-UA"/>
              </w:rPr>
              <w:t>–</w:t>
            </w:r>
          </w:p>
        </w:tc>
        <w:tc>
          <w:tcPr>
            <w:tcW w:w="850" w:type="dxa"/>
          </w:tcPr>
          <w:p w:rsidR="00A11DFE" w:rsidRPr="00AE525F" w:rsidRDefault="00A11DFE" w:rsidP="00FF5B1F">
            <w:pPr>
              <w:jc w:val="center"/>
              <w:rPr>
                <w:rFonts w:ascii="Times New Roman" w:hAnsi="Times New Roman" w:cs="Times New Roman"/>
                <w:lang w:val="uk-UA"/>
              </w:rPr>
            </w:pPr>
          </w:p>
          <w:p w:rsidR="00A11DFE" w:rsidRPr="00AE525F" w:rsidRDefault="00A11DFE" w:rsidP="00FF5B1F">
            <w:pPr>
              <w:jc w:val="center"/>
              <w:rPr>
                <w:rFonts w:ascii="Times New Roman" w:hAnsi="Times New Roman" w:cs="Times New Roman"/>
                <w:lang w:val="uk-UA"/>
              </w:rPr>
            </w:pPr>
          </w:p>
          <w:p w:rsidR="00A11DFE" w:rsidRPr="00AE525F" w:rsidRDefault="002C1D3F" w:rsidP="00FF5B1F">
            <w:pPr>
              <w:jc w:val="center"/>
              <w:rPr>
                <w:rFonts w:ascii="Times New Roman" w:hAnsi="Times New Roman" w:cs="Times New Roman"/>
                <w:lang w:val="uk-UA"/>
              </w:rPr>
            </w:pPr>
            <w:r w:rsidRPr="00AE525F">
              <w:rPr>
                <w:rFonts w:ascii="Times New Roman" w:hAnsi="Times New Roman" w:cs="Times New Roman"/>
                <w:lang w:val="uk-UA"/>
              </w:rPr>
              <w:t>-22,66</w:t>
            </w:r>
          </w:p>
        </w:tc>
      </w:tr>
    </w:tbl>
    <w:p w:rsidR="00BB2431" w:rsidRPr="00AE525F" w:rsidRDefault="00BB2431" w:rsidP="00BB2431">
      <w:pPr>
        <w:pStyle w:val="Default"/>
        <w:spacing w:line="360" w:lineRule="auto"/>
        <w:ind w:firstLine="680"/>
        <w:jc w:val="both"/>
        <w:rPr>
          <w:lang w:val="uk-UA"/>
        </w:rPr>
      </w:pPr>
      <w:r w:rsidRPr="00AE525F">
        <w:rPr>
          <w:lang w:val="uk-UA"/>
        </w:rPr>
        <w:t>* склад</w:t>
      </w:r>
      <w:r w:rsidR="00DE7196" w:rsidRPr="00AE525F">
        <w:rPr>
          <w:lang w:val="uk-UA"/>
        </w:rPr>
        <w:t>ено автором за даними джерела [</w:t>
      </w:r>
      <w:r w:rsidR="00AD44AB" w:rsidRPr="00AE525F">
        <w:rPr>
          <w:lang w:val="uk-UA"/>
        </w:rPr>
        <w:t>5</w:t>
      </w:r>
      <w:r w:rsidRPr="00AE525F">
        <w:rPr>
          <w:lang w:val="uk-UA"/>
        </w:rPr>
        <w:t>]</w:t>
      </w:r>
    </w:p>
    <w:p w:rsidR="00DE7196" w:rsidRPr="00AE525F" w:rsidRDefault="00DE7196" w:rsidP="000A521A">
      <w:pPr>
        <w:spacing w:after="0" w:line="360" w:lineRule="auto"/>
        <w:ind w:firstLine="680"/>
        <w:jc w:val="both"/>
        <w:rPr>
          <w:rFonts w:ascii="Times New Roman" w:hAnsi="Times New Roman" w:cs="Times New Roman"/>
          <w:sz w:val="28"/>
          <w:szCs w:val="28"/>
          <w:lang w:val="uk-UA"/>
        </w:rPr>
      </w:pPr>
      <w:r w:rsidRPr="00AE525F">
        <w:rPr>
          <w:rFonts w:ascii="Times New Roman" w:hAnsi="Times New Roman" w:cs="Times New Roman"/>
          <w:sz w:val="28"/>
          <w:szCs w:val="28"/>
          <w:lang w:val="uk-UA"/>
        </w:rPr>
        <w:t xml:space="preserve">Динаміка загальнодержавних податків і зборів у складі місцевих бюджетів за період 2014-2017 рр. має нестійку тенденцію. Так, у 2015 р. </w:t>
      </w:r>
      <w:r w:rsidRPr="00AE525F">
        <w:rPr>
          <w:rFonts w:ascii="Times New Roman" w:hAnsi="Times New Roman" w:cs="Times New Roman"/>
          <w:sz w:val="28"/>
          <w:szCs w:val="28"/>
          <w:lang w:val="uk-UA"/>
        </w:rPr>
        <w:lastRenderedPageBreak/>
        <w:t>абсолютні значення загальнодержавних податків і зборів становили 70,61 млрд грн, що менше на 8,15 млрд грн ніж у 2014 р., що обумовлено змінами, внесеними до Бюджетного кодексу стосовно перерозподілу окремих видів податкових платежів між бюджетами різних рівнів. Зокрема, надходження 25</w:t>
      </w:r>
      <w:r w:rsidR="009555FE"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податку на доходи фізичних осіб, який мобілізується по території адміністративно-територіальних одиниць (міст, сіл, селищ, областей та районів), а також 60</w:t>
      </w:r>
      <w:r w:rsidR="009555FE"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цього податку, мобілізованого у місті Києві. Окрім того, зменшення загальнодержавних податків у 2015</w:t>
      </w:r>
      <w:r w:rsidR="009555FE"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р. обумовлено перенесенням плати за землю до складу місцевих податків на майно. У 2016 р. сума загальнодержавних податків і зборів зросла до 101,18 млрд грн або на 30,57</w:t>
      </w:r>
      <w:r w:rsidR="009555FE"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xml:space="preserve">млрд грн. </w:t>
      </w:r>
    </w:p>
    <w:p w:rsidR="00BB2431" w:rsidRPr="00AE525F" w:rsidRDefault="000A521A" w:rsidP="00522110">
      <w:pPr>
        <w:spacing w:after="0" w:line="360" w:lineRule="auto"/>
        <w:ind w:firstLine="680"/>
        <w:jc w:val="both"/>
        <w:rPr>
          <w:rFonts w:ascii="Times New Roman" w:hAnsi="Times New Roman" w:cs="Times New Roman"/>
          <w:sz w:val="28"/>
          <w:szCs w:val="28"/>
          <w:lang w:val="uk-UA"/>
        </w:rPr>
      </w:pPr>
      <w:r w:rsidRPr="00AE525F">
        <w:rPr>
          <w:rFonts w:ascii="Times New Roman" w:hAnsi="Times New Roman" w:cs="Times New Roman"/>
          <w:sz w:val="28"/>
          <w:szCs w:val="28"/>
          <w:lang w:val="uk-UA"/>
        </w:rPr>
        <w:t>За підсумками виконання дохідної частини місцевих бюджетів у 2017 р. сума загальнодержавних податків</w:t>
      </w:r>
      <w:r w:rsidR="009555FE" w:rsidRPr="00AE525F">
        <w:rPr>
          <w:rFonts w:ascii="Times New Roman" w:hAnsi="Times New Roman" w:cs="Times New Roman"/>
          <w:sz w:val="28"/>
          <w:szCs w:val="28"/>
          <w:lang w:val="uk-UA"/>
        </w:rPr>
        <w:t xml:space="preserve"> і зборів становила 135,73 млрд</w:t>
      </w:r>
      <w:r w:rsidRPr="00AE525F">
        <w:rPr>
          <w:rFonts w:ascii="Times New Roman" w:hAnsi="Times New Roman" w:cs="Times New Roman"/>
          <w:sz w:val="28"/>
          <w:szCs w:val="28"/>
          <w:lang w:val="uk-UA"/>
        </w:rPr>
        <w:t xml:space="preserve"> грн. У даному році відбувся найбільший приріст загальнодержавних подат</w:t>
      </w:r>
      <w:r w:rsidR="008A7C7D" w:rsidRPr="00AE525F">
        <w:rPr>
          <w:rFonts w:ascii="Times New Roman" w:hAnsi="Times New Roman" w:cs="Times New Roman"/>
          <w:sz w:val="28"/>
          <w:szCs w:val="28"/>
          <w:lang w:val="uk-UA"/>
        </w:rPr>
        <w:t>ків і зборів, а саме 34,55 млрд</w:t>
      </w:r>
      <w:r w:rsidRPr="00AE525F">
        <w:rPr>
          <w:rFonts w:ascii="Times New Roman" w:hAnsi="Times New Roman" w:cs="Times New Roman"/>
          <w:sz w:val="28"/>
          <w:szCs w:val="28"/>
          <w:lang w:val="uk-UA"/>
        </w:rPr>
        <w:t xml:space="preserve"> грн</w:t>
      </w:r>
      <w:r w:rsidR="008A7C7D" w:rsidRPr="00AE525F">
        <w:rPr>
          <w:rFonts w:ascii="Times New Roman" w:hAnsi="Times New Roman" w:cs="Times New Roman"/>
          <w:sz w:val="28"/>
          <w:szCs w:val="28"/>
          <w:lang w:val="uk-UA"/>
        </w:rPr>
        <w:t>,</w:t>
      </w:r>
      <w:r w:rsidRPr="00AE525F">
        <w:rPr>
          <w:rFonts w:ascii="Times New Roman" w:hAnsi="Times New Roman" w:cs="Times New Roman"/>
          <w:sz w:val="28"/>
          <w:szCs w:val="28"/>
          <w:lang w:val="uk-UA"/>
        </w:rPr>
        <w:t xml:space="preserve"> основу яких склав ПДФО. </w:t>
      </w:r>
      <w:r w:rsidR="00AC518E" w:rsidRPr="00AE525F">
        <w:rPr>
          <w:rFonts w:ascii="Times New Roman" w:hAnsi="Times New Roman" w:cs="Times New Roman"/>
          <w:sz w:val="28"/>
          <w:szCs w:val="28"/>
          <w:lang w:val="uk-UA"/>
        </w:rPr>
        <w:t>Питома вага загальнодержавних податків і зборів у доходах місцевих бюджетів у 201</w:t>
      </w:r>
      <w:r w:rsidRPr="00AE525F">
        <w:rPr>
          <w:rFonts w:ascii="Times New Roman" w:hAnsi="Times New Roman" w:cs="Times New Roman"/>
          <w:sz w:val="28"/>
          <w:szCs w:val="28"/>
          <w:lang w:val="uk-UA"/>
        </w:rPr>
        <w:t>7</w:t>
      </w:r>
      <w:r w:rsidR="00AC518E" w:rsidRPr="00AE525F">
        <w:rPr>
          <w:rFonts w:ascii="Times New Roman" w:hAnsi="Times New Roman" w:cs="Times New Roman"/>
          <w:sz w:val="28"/>
          <w:szCs w:val="28"/>
          <w:lang w:val="uk-UA"/>
        </w:rPr>
        <w:t xml:space="preserve"> р. станови</w:t>
      </w:r>
      <w:r w:rsidR="008A7C7D" w:rsidRPr="00AE525F">
        <w:rPr>
          <w:rFonts w:ascii="Times New Roman" w:hAnsi="Times New Roman" w:cs="Times New Roman"/>
          <w:sz w:val="28"/>
          <w:szCs w:val="28"/>
          <w:lang w:val="uk-UA"/>
        </w:rPr>
        <w:t>ла</w:t>
      </w:r>
      <w:r w:rsidR="00AC518E" w:rsidRPr="00AE525F">
        <w:rPr>
          <w:rFonts w:ascii="Times New Roman" w:hAnsi="Times New Roman" w:cs="Times New Roman"/>
          <w:sz w:val="28"/>
          <w:szCs w:val="28"/>
          <w:lang w:val="uk-UA"/>
        </w:rPr>
        <w:t xml:space="preserve"> 27,</w:t>
      </w:r>
      <w:r w:rsidRPr="00AE525F">
        <w:rPr>
          <w:rFonts w:ascii="Times New Roman" w:hAnsi="Times New Roman" w:cs="Times New Roman"/>
          <w:sz w:val="28"/>
          <w:szCs w:val="28"/>
          <w:lang w:val="uk-UA"/>
        </w:rPr>
        <w:t>0</w:t>
      </w:r>
      <w:r w:rsidR="00AC518E" w:rsidRPr="00AE525F">
        <w:rPr>
          <w:rFonts w:ascii="Times New Roman" w:hAnsi="Times New Roman" w:cs="Times New Roman"/>
          <w:sz w:val="28"/>
          <w:szCs w:val="28"/>
          <w:lang w:val="uk-UA"/>
        </w:rPr>
        <w:t>3</w:t>
      </w:r>
      <w:r w:rsidR="008A7C7D" w:rsidRPr="00AE525F">
        <w:rPr>
          <w:rFonts w:ascii="Times New Roman" w:hAnsi="Times New Roman" w:cs="Times New Roman"/>
          <w:sz w:val="28"/>
          <w:szCs w:val="28"/>
          <w:lang w:val="uk-UA"/>
        </w:rPr>
        <w:t> </w:t>
      </w:r>
      <w:r w:rsidR="00AC518E" w:rsidRPr="00AE525F">
        <w:rPr>
          <w:rFonts w:ascii="Times New Roman" w:hAnsi="Times New Roman" w:cs="Times New Roman"/>
          <w:sz w:val="28"/>
          <w:szCs w:val="28"/>
          <w:lang w:val="uk-UA"/>
        </w:rPr>
        <w:t>%, а у податкових надходженнях – 6</w:t>
      </w:r>
      <w:r w:rsidRPr="00AE525F">
        <w:rPr>
          <w:rFonts w:ascii="Times New Roman" w:hAnsi="Times New Roman" w:cs="Times New Roman"/>
          <w:sz w:val="28"/>
          <w:szCs w:val="28"/>
          <w:lang w:val="uk-UA"/>
        </w:rPr>
        <w:t>7</w:t>
      </w:r>
      <w:r w:rsidR="00AC518E" w:rsidRPr="00AE525F">
        <w:rPr>
          <w:rFonts w:ascii="Times New Roman" w:hAnsi="Times New Roman" w:cs="Times New Roman"/>
          <w:sz w:val="28"/>
          <w:szCs w:val="28"/>
          <w:lang w:val="uk-UA"/>
        </w:rPr>
        <w:t>,</w:t>
      </w:r>
      <w:r w:rsidRPr="00AE525F">
        <w:rPr>
          <w:rFonts w:ascii="Times New Roman" w:hAnsi="Times New Roman" w:cs="Times New Roman"/>
          <w:sz w:val="28"/>
          <w:szCs w:val="28"/>
          <w:lang w:val="uk-UA"/>
        </w:rPr>
        <w:t>52</w:t>
      </w:r>
      <w:r w:rsidR="008A7C7D" w:rsidRPr="00AE525F">
        <w:rPr>
          <w:rFonts w:ascii="Times New Roman" w:hAnsi="Times New Roman" w:cs="Times New Roman"/>
          <w:sz w:val="28"/>
          <w:szCs w:val="28"/>
          <w:lang w:val="uk-UA"/>
        </w:rPr>
        <w:t> </w:t>
      </w:r>
      <w:r w:rsidR="00AC518E" w:rsidRPr="00AE525F">
        <w:rPr>
          <w:rFonts w:ascii="Times New Roman" w:hAnsi="Times New Roman" w:cs="Times New Roman"/>
          <w:sz w:val="28"/>
          <w:szCs w:val="28"/>
          <w:lang w:val="uk-UA"/>
        </w:rPr>
        <w:t xml:space="preserve">%. У складі загальнодержавних податків і зборів більше </w:t>
      </w:r>
      <w:r w:rsidRPr="00AE525F">
        <w:rPr>
          <w:rFonts w:ascii="Times New Roman" w:hAnsi="Times New Roman" w:cs="Times New Roman"/>
          <w:sz w:val="28"/>
          <w:szCs w:val="28"/>
          <w:lang w:val="uk-UA"/>
        </w:rPr>
        <w:t>81</w:t>
      </w:r>
      <w:r w:rsidR="00AC518E" w:rsidRPr="00AE525F">
        <w:rPr>
          <w:rFonts w:ascii="Times New Roman" w:hAnsi="Times New Roman" w:cs="Times New Roman"/>
          <w:sz w:val="28"/>
          <w:szCs w:val="28"/>
          <w:lang w:val="uk-UA"/>
        </w:rPr>
        <w:t xml:space="preserve"> % займає ПДФО і лише </w:t>
      </w:r>
      <w:r w:rsidRPr="00AE525F">
        <w:rPr>
          <w:rFonts w:ascii="Times New Roman" w:hAnsi="Times New Roman" w:cs="Times New Roman"/>
          <w:sz w:val="28"/>
          <w:szCs w:val="28"/>
          <w:lang w:val="uk-UA"/>
        </w:rPr>
        <w:t>18</w:t>
      </w:r>
      <w:r w:rsidR="00AC518E" w:rsidRPr="00AE525F">
        <w:rPr>
          <w:rFonts w:ascii="Times New Roman" w:hAnsi="Times New Roman" w:cs="Times New Roman"/>
          <w:sz w:val="28"/>
          <w:szCs w:val="28"/>
          <w:lang w:val="uk-UA"/>
        </w:rPr>
        <w:t xml:space="preserve"> % займають інші загальнодержавні податки і збори.</w:t>
      </w:r>
    </w:p>
    <w:p w:rsidR="00D03EB4" w:rsidRPr="00AE525F" w:rsidRDefault="00BB2431" w:rsidP="003F4A70">
      <w:pPr>
        <w:pStyle w:val="Default"/>
        <w:spacing w:line="360" w:lineRule="auto"/>
        <w:ind w:firstLine="680"/>
        <w:jc w:val="both"/>
        <w:rPr>
          <w:sz w:val="28"/>
          <w:szCs w:val="28"/>
          <w:lang w:val="uk-UA"/>
        </w:rPr>
      </w:pPr>
      <w:r w:rsidRPr="00AE525F">
        <w:rPr>
          <w:sz w:val="28"/>
          <w:szCs w:val="28"/>
          <w:lang w:val="uk-UA"/>
        </w:rPr>
        <w:t>Абсолютні значення ПДФО за період</w:t>
      </w:r>
      <w:r w:rsidR="000A521A" w:rsidRPr="00AE525F">
        <w:rPr>
          <w:sz w:val="28"/>
          <w:szCs w:val="28"/>
          <w:lang w:val="uk-UA"/>
        </w:rPr>
        <w:t xml:space="preserve"> 2014-2017 рр.</w:t>
      </w:r>
      <w:r w:rsidRPr="00AE525F">
        <w:rPr>
          <w:sz w:val="28"/>
          <w:szCs w:val="28"/>
          <w:lang w:val="uk-UA"/>
        </w:rPr>
        <w:t xml:space="preserve"> зросли з </w:t>
      </w:r>
      <w:r w:rsidR="000A521A" w:rsidRPr="00AE525F">
        <w:rPr>
          <w:sz w:val="28"/>
          <w:szCs w:val="28"/>
          <w:lang w:val="uk-UA"/>
        </w:rPr>
        <w:t>62,56</w:t>
      </w:r>
      <w:r w:rsidR="008A7C7D" w:rsidRPr="00AE525F">
        <w:rPr>
          <w:sz w:val="28"/>
          <w:szCs w:val="28"/>
          <w:lang w:val="uk-UA"/>
        </w:rPr>
        <w:t xml:space="preserve"> млрд грн</w:t>
      </w:r>
      <w:r w:rsidRPr="00AE525F">
        <w:rPr>
          <w:sz w:val="28"/>
          <w:szCs w:val="28"/>
          <w:lang w:val="uk-UA"/>
        </w:rPr>
        <w:t xml:space="preserve"> до </w:t>
      </w:r>
      <w:r w:rsidR="000A521A" w:rsidRPr="00AE525F">
        <w:rPr>
          <w:sz w:val="28"/>
          <w:szCs w:val="28"/>
          <w:lang w:val="uk-UA"/>
        </w:rPr>
        <w:t>110,65</w:t>
      </w:r>
      <w:r w:rsidRPr="00AE525F">
        <w:rPr>
          <w:sz w:val="28"/>
          <w:szCs w:val="28"/>
          <w:lang w:val="uk-UA"/>
        </w:rPr>
        <w:t xml:space="preserve"> млрд грн (їх приріст становив </w:t>
      </w:r>
      <w:r w:rsidR="003F4A70" w:rsidRPr="00AE525F">
        <w:rPr>
          <w:sz w:val="28"/>
          <w:szCs w:val="28"/>
          <w:lang w:val="uk-UA"/>
        </w:rPr>
        <w:t>48,09</w:t>
      </w:r>
      <w:r w:rsidRPr="00AE525F">
        <w:rPr>
          <w:sz w:val="28"/>
          <w:szCs w:val="28"/>
          <w:lang w:val="uk-UA"/>
        </w:rPr>
        <w:t xml:space="preserve"> млрд грн). Так, якщо у 2013–2014 рр. обсяг ПДФО </w:t>
      </w:r>
      <w:r w:rsidR="003F4A70" w:rsidRPr="00AE525F">
        <w:rPr>
          <w:sz w:val="28"/>
          <w:szCs w:val="28"/>
          <w:lang w:val="uk-UA"/>
        </w:rPr>
        <w:t>скоротився з 62,56 млрд грн до 54,92 млрд грн</w:t>
      </w:r>
      <w:r w:rsidRPr="00AE525F">
        <w:rPr>
          <w:sz w:val="28"/>
          <w:szCs w:val="28"/>
          <w:lang w:val="uk-UA"/>
        </w:rPr>
        <w:t>, то у 2015-201</w:t>
      </w:r>
      <w:r w:rsidR="003F4A70" w:rsidRPr="00AE525F">
        <w:rPr>
          <w:sz w:val="28"/>
          <w:szCs w:val="28"/>
          <w:lang w:val="uk-UA"/>
        </w:rPr>
        <w:t>7</w:t>
      </w:r>
      <w:r w:rsidRPr="00AE525F">
        <w:rPr>
          <w:sz w:val="28"/>
          <w:szCs w:val="28"/>
          <w:lang w:val="uk-UA"/>
        </w:rPr>
        <w:t xml:space="preserve"> рр. відмічено значне їх зростання. </w:t>
      </w:r>
      <w:r w:rsidR="00D03EB4" w:rsidRPr="00AE525F">
        <w:rPr>
          <w:sz w:val="28"/>
          <w:szCs w:val="28"/>
          <w:lang w:val="uk-UA"/>
        </w:rPr>
        <w:t>Зокрема, у 201</w:t>
      </w:r>
      <w:r w:rsidR="003F4A70" w:rsidRPr="00AE525F">
        <w:rPr>
          <w:sz w:val="28"/>
          <w:szCs w:val="28"/>
          <w:lang w:val="uk-UA"/>
        </w:rPr>
        <w:t>6</w:t>
      </w:r>
      <w:r w:rsidR="00D03EB4" w:rsidRPr="00AE525F">
        <w:rPr>
          <w:sz w:val="28"/>
          <w:szCs w:val="28"/>
          <w:lang w:val="uk-UA"/>
        </w:rPr>
        <w:t xml:space="preserve"> р. величина ПДФО, мобілізованого до </w:t>
      </w:r>
      <w:r w:rsidR="003F4A70" w:rsidRPr="00AE525F">
        <w:rPr>
          <w:sz w:val="28"/>
          <w:szCs w:val="28"/>
          <w:lang w:val="uk-UA"/>
        </w:rPr>
        <w:t>місцевих</w:t>
      </w:r>
      <w:r w:rsidR="00D03EB4" w:rsidRPr="00AE525F">
        <w:rPr>
          <w:sz w:val="28"/>
          <w:szCs w:val="28"/>
          <w:lang w:val="uk-UA"/>
        </w:rPr>
        <w:t xml:space="preserve"> бюджет</w:t>
      </w:r>
      <w:r w:rsidR="003F4A70" w:rsidRPr="00AE525F">
        <w:rPr>
          <w:sz w:val="28"/>
          <w:szCs w:val="28"/>
          <w:lang w:val="uk-UA"/>
        </w:rPr>
        <w:t>ів</w:t>
      </w:r>
      <w:r w:rsidR="00D03EB4" w:rsidRPr="00AE525F">
        <w:rPr>
          <w:sz w:val="28"/>
          <w:szCs w:val="28"/>
          <w:lang w:val="uk-UA"/>
        </w:rPr>
        <w:t xml:space="preserve">, становила </w:t>
      </w:r>
      <w:r w:rsidR="003F4A70" w:rsidRPr="00AE525F">
        <w:rPr>
          <w:sz w:val="28"/>
          <w:szCs w:val="28"/>
          <w:lang w:val="uk-UA"/>
        </w:rPr>
        <w:t>78</w:t>
      </w:r>
      <w:r w:rsidR="00D03EB4" w:rsidRPr="00AE525F">
        <w:rPr>
          <w:sz w:val="28"/>
          <w:szCs w:val="28"/>
          <w:lang w:val="uk-UA"/>
        </w:rPr>
        <w:t>,9</w:t>
      </w:r>
      <w:r w:rsidR="003F4A70" w:rsidRPr="00AE525F">
        <w:rPr>
          <w:sz w:val="28"/>
          <w:szCs w:val="28"/>
          <w:lang w:val="uk-UA"/>
        </w:rPr>
        <w:t>7</w:t>
      </w:r>
      <w:r w:rsidR="00D03EB4" w:rsidRPr="00AE525F">
        <w:rPr>
          <w:sz w:val="28"/>
          <w:szCs w:val="28"/>
          <w:lang w:val="uk-UA"/>
        </w:rPr>
        <w:t xml:space="preserve"> млрд грн проти </w:t>
      </w:r>
      <w:r w:rsidR="003F4A70" w:rsidRPr="00AE525F">
        <w:rPr>
          <w:sz w:val="28"/>
          <w:szCs w:val="28"/>
          <w:lang w:val="uk-UA"/>
        </w:rPr>
        <w:t>54,92</w:t>
      </w:r>
      <w:r w:rsidR="00D03EB4" w:rsidRPr="00AE525F">
        <w:rPr>
          <w:sz w:val="28"/>
          <w:szCs w:val="28"/>
          <w:lang w:val="uk-UA"/>
        </w:rPr>
        <w:t xml:space="preserve"> млрд грн у 201</w:t>
      </w:r>
      <w:r w:rsidR="003F4A70" w:rsidRPr="00AE525F">
        <w:rPr>
          <w:sz w:val="28"/>
          <w:szCs w:val="28"/>
          <w:lang w:val="uk-UA"/>
        </w:rPr>
        <w:t>5</w:t>
      </w:r>
      <w:r w:rsidR="00D03EB4" w:rsidRPr="00AE525F">
        <w:rPr>
          <w:sz w:val="28"/>
          <w:szCs w:val="28"/>
          <w:lang w:val="uk-UA"/>
        </w:rPr>
        <w:t xml:space="preserve"> р. (зростання склало 24,</w:t>
      </w:r>
      <w:r w:rsidR="003F4A70" w:rsidRPr="00AE525F">
        <w:rPr>
          <w:sz w:val="28"/>
          <w:szCs w:val="28"/>
          <w:lang w:val="uk-UA"/>
        </w:rPr>
        <w:t>05</w:t>
      </w:r>
      <w:r w:rsidR="00D03EB4" w:rsidRPr="00AE525F">
        <w:rPr>
          <w:sz w:val="28"/>
          <w:szCs w:val="28"/>
          <w:lang w:val="uk-UA"/>
        </w:rPr>
        <w:t xml:space="preserve"> млрд грн), а у 201</w:t>
      </w:r>
      <w:r w:rsidR="003F4A70" w:rsidRPr="00AE525F">
        <w:rPr>
          <w:sz w:val="28"/>
          <w:szCs w:val="28"/>
          <w:lang w:val="uk-UA"/>
        </w:rPr>
        <w:t>7</w:t>
      </w:r>
      <w:r w:rsidR="00D03EB4" w:rsidRPr="00AE525F">
        <w:rPr>
          <w:sz w:val="28"/>
          <w:szCs w:val="28"/>
          <w:lang w:val="uk-UA"/>
        </w:rPr>
        <w:t xml:space="preserve"> р. – 1</w:t>
      </w:r>
      <w:r w:rsidR="003F4A70" w:rsidRPr="00AE525F">
        <w:rPr>
          <w:sz w:val="28"/>
          <w:szCs w:val="28"/>
          <w:lang w:val="uk-UA"/>
        </w:rPr>
        <w:t>10</w:t>
      </w:r>
      <w:r w:rsidR="00D03EB4" w:rsidRPr="00AE525F">
        <w:rPr>
          <w:sz w:val="28"/>
          <w:szCs w:val="28"/>
          <w:lang w:val="uk-UA"/>
        </w:rPr>
        <w:t>,</w:t>
      </w:r>
      <w:r w:rsidR="003F4A70" w:rsidRPr="00AE525F">
        <w:rPr>
          <w:sz w:val="28"/>
          <w:szCs w:val="28"/>
          <w:lang w:val="uk-UA"/>
        </w:rPr>
        <w:t>65</w:t>
      </w:r>
      <w:r w:rsidR="00D03EB4" w:rsidRPr="00AE525F">
        <w:rPr>
          <w:sz w:val="28"/>
          <w:szCs w:val="28"/>
          <w:lang w:val="uk-UA"/>
        </w:rPr>
        <w:t xml:space="preserve"> млрд грн (більше на </w:t>
      </w:r>
      <w:r w:rsidR="003F4A70" w:rsidRPr="00AE525F">
        <w:rPr>
          <w:sz w:val="28"/>
          <w:szCs w:val="28"/>
          <w:lang w:val="uk-UA"/>
        </w:rPr>
        <w:t>31,68</w:t>
      </w:r>
      <w:r w:rsidR="00D03EB4" w:rsidRPr="00AE525F">
        <w:rPr>
          <w:sz w:val="28"/>
          <w:szCs w:val="28"/>
          <w:lang w:val="uk-UA"/>
        </w:rPr>
        <w:t xml:space="preserve"> млрд грн у порівнянні з 201</w:t>
      </w:r>
      <w:r w:rsidR="003F4A70" w:rsidRPr="00AE525F">
        <w:rPr>
          <w:sz w:val="28"/>
          <w:szCs w:val="28"/>
          <w:lang w:val="uk-UA"/>
        </w:rPr>
        <w:t>6</w:t>
      </w:r>
      <w:r w:rsidR="00D03EB4" w:rsidRPr="00AE525F">
        <w:rPr>
          <w:sz w:val="28"/>
          <w:szCs w:val="28"/>
          <w:lang w:val="uk-UA"/>
        </w:rPr>
        <w:t xml:space="preserve"> р.). Зазначене зростання показників ПДФО було обумовлено </w:t>
      </w:r>
      <w:r w:rsidR="00D03EB4" w:rsidRPr="00AE525F">
        <w:rPr>
          <w:rFonts w:eastAsia="Times New Roman"/>
          <w:sz w:val="28"/>
          <w:szCs w:val="28"/>
          <w:lang w:val="uk-UA"/>
        </w:rPr>
        <w:t xml:space="preserve">запровадженням з липня 2014 р. оподаткування доходів фізичних осіб у вигляді </w:t>
      </w:r>
      <w:r w:rsidR="008A7C7D" w:rsidRPr="00AE525F">
        <w:rPr>
          <w:rFonts w:eastAsia="Times New Roman"/>
          <w:sz w:val="28"/>
          <w:szCs w:val="28"/>
          <w:lang w:val="uk-UA"/>
        </w:rPr>
        <w:t>відсотків</w:t>
      </w:r>
      <w:r w:rsidR="003F4A70" w:rsidRPr="00AE525F">
        <w:rPr>
          <w:rFonts w:eastAsia="Times New Roman"/>
          <w:sz w:val="28"/>
          <w:szCs w:val="28"/>
          <w:lang w:val="uk-UA"/>
        </w:rPr>
        <w:t>, що</w:t>
      </w:r>
      <w:r w:rsidR="00D03EB4" w:rsidRPr="00AE525F">
        <w:rPr>
          <w:rFonts w:eastAsia="Times New Roman"/>
          <w:sz w:val="28"/>
          <w:szCs w:val="28"/>
          <w:lang w:val="uk-UA"/>
        </w:rPr>
        <w:t xml:space="preserve"> сприяло збільшенню доходів – на 6, 92 млрд грн. Зростання показників надходження ПДФО до </w:t>
      </w:r>
      <w:r w:rsidR="003F4A70" w:rsidRPr="00AE525F">
        <w:rPr>
          <w:rFonts w:eastAsia="Times New Roman"/>
          <w:sz w:val="28"/>
          <w:szCs w:val="28"/>
          <w:lang w:val="uk-UA"/>
        </w:rPr>
        <w:t>місцевих</w:t>
      </w:r>
      <w:r w:rsidR="00D03EB4" w:rsidRPr="00AE525F">
        <w:rPr>
          <w:rFonts w:eastAsia="Times New Roman"/>
          <w:sz w:val="28"/>
          <w:szCs w:val="28"/>
          <w:lang w:val="uk-UA"/>
        </w:rPr>
        <w:t xml:space="preserve"> бюджет</w:t>
      </w:r>
      <w:r w:rsidR="003F4A70" w:rsidRPr="00AE525F">
        <w:rPr>
          <w:rFonts w:eastAsia="Times New Roman"/>
          <w:sz w:val="28"/>
          <w:szCs w:val="28"/>
          <w:lang w:val="uk-UA"/>
        </w:rPr>
        <w:t>ів</w:t>
      </w:r>
      <w:r w:rsidR="00D03EB4" w:rsidRPr="00AE525F">
        <w:rPr>
          <w:rFonts w:eastAsia="Times New Roman"/>
          <w:sz w:val="28"/>
          <w:szCs w:val="28"/>
          <w:lang w:val="uk-UA"/>
        </w:rPr>
        <w:t xml:space="preserve"> </w:t>
      </w:r>
      <w:r w:rsidR="003F4A70" w:rsidRPr="00AE525F">
        <w:rPr>
          <w:rFonts w:eastAsia="Times New Roman"/>
          <w:sz w:val="28"/>
          <w:szCs w:val="28"/>
          <w:lang w:val="uk-UA"/>
        </w:rPr>
        <w:t>з</w:t>
      </w:r>
      <w:r w:rsidR="00D03EB4" w:rsidRPr="00AE525F">
        <w:rPr>
          <w:rFonts w:eastAsia="Times New Roman"/>
          <w:sz w:val="28"/>
          <w:szCs w:val="28"/>
          <w:lang w:val="uk-UA"/>
        </w:rPr>
        <w:t xml:space="preserve"> 201</w:t>
      </w:r>
      <w:r w:rsidR="003F4A70" w:rsidRPr="00AE525F">
        <w:rPr>
          <w:rFonts w:eastAsia="Times New Roman"/>
          <w:sz w:val="28"/>
          <w:szCs w:val="28"/>
          <w:lang w:val="uk-UA"/>
        </w:rPr>
        <w:t>6</w:t>
      </w:r>
      <w:r w:rsidR="00D03EB4" w:rsidRPr="00AE525F">
        <w:rPr>
          <w:rFonts w:eastAsia="Times New Roman"/>
          <w:sz w:val="28"/>
          <w:szCs w:val="28"/>
          <w:lang w:val="uk-UA"/>
        </w:rPr>
        <w:t xml:space="preserve"> р. зумовлено підвищенням рівня базової </w:t>
      </w:r>
      <w:r w:rsidR="00D03EB4" w:rsidRPr="00AE525F">
        <w:rPr>
          <w:rFonts w:eastAsia="Times New Roman"/>
          <w:sz w:val="28"/>
          <w:szCs w:val="28"/>
          <w:lang w:val="uk-UA"/>
        </w:rPr>
        <w:lastRenderedPageBreak/>
        <w:t>ставки податку з 15</w:t>
      </w:r>
      <w:r w:rsidR="008A7C7D" w:rsidRPr="00AE525F">
        <w:rPr>
          <w:rFonts w:eastAsia="Times New Roman"/>
          <w:sz w:val="28"/>
          <w:szCs w:val="28"/>
          <w:lang w:val="uk-UA"/>
        </w:rPr>
        <w:t> </w:t>
      </w:r>
      <w:r w:rsidR="00D03EB4" w:rsidRPr="00AE525F">
        <w:rPr>
          <w:rFonts w:eastAsia="Times New Roman"/>
          <w:sz w:val="28"/>
          <w:szCs w:val="28"/>
          <w:lang w:val="uk-UA"/>
        </w:rPr>
        <w:t>% до 18</w:t>
      </w:r>
      <w:r w:rsidR="008A7C7D" w:rsidRPr="00AE525F">
        <w:rPr>
          <w:rFonts w:eastAsia="Times New Roman"/>
          <w:sz w:val="28"/>
          <w:szCs w:val="28"/>
          <w:lang w:val="uk-UA"/>
        </w:rPr>
        <w:t> </w:t>
      </w:r>
      <w:r w:rsidR="00D03EB4" w:rsidRPr="00AE525F">
        <w:rPr>
          <w:rFonts w:eastAsia="Times New Roman"/>
          <w:sz w:val="28"/>
          <w:szCs w:val="28"/>
          <w:lang w:val="uk-UA"/>
        </w:rPr>
        <w:t>%. За оцінкою Рахункової палати, підвищення з 15 до 18</w:t>
      </w:r>
      <w:r w:rsidR="008A7C7D" w:rsidRPr="00AE525F">
        <w:rPr>
          <w:rFonts w:eastAsia="Times New Roman"/>
          <w:sz w:val="28"/>
          <w:szCs w:val="28"/>
          <w:lang w:val="uk-UA"/>
        </w:rPr>
        <w:t> </w:t>
      </w:r>
      <w:r w:rsidR="00D03EB4" w:rsidRPr="00AE525F">
        <w:rPr>
          <w:rFonts w:eastAsia="Times New Roman"/>
          <w:sz w:val="28"/>
          <w:szCs w:val="28"/>
          <w:lang w:val="uk-UA"/>
        </w:rPr>
        <w:t>% основної ставки ПДФО і розширення бази нарахування податку за рахунок скасування єдиного соціального внеску для найманих працівників збільшило в 2016 р., порівняно з попереднім роком, надходження ПДФО на 6 млрд грн. Водночас</w:t>
      </w:r>
      <w:r w:rsidR="003F4A70" w:rsidRPr="00AE525F">
        <w:rPr>
          <w:rFonts w:eastAsia="Times New Roman"/>
          <w:sz w:val="28"/>
          <w:szCs w:val="28"/>
          <w:lang w:val="uk-UA"/>
        </w:rPr>
        <w:t>,</w:t>
      </w:r>
      <w:r w:rsidR="00D03EB4" w:rsidRPr="00AE525F">
        <w:rPr>
          <w:rFonts w:eastAsia="Times New Roman"/>
          <w:sz w:val="28"/>
          <w:szCs w:val="28"/>
          <w:lang w:val="uk-UA"/>
        </w:rPr>
        <w:t xml:space="preserve"> зменшення середньої кількості працівників на 2,4</w:t>
      </w:r>
      <w:r w:rsidR="008A7C7D" w:rsidRPr="00AE525F">
        <w:rPr>
          <w:rFonts w:eastAsia="Times New Roman"/>
          <w:sz w:val="28"/>
          <w:szCs w:val="28"/>
          <w:lang w:val="uk-UA"/>
        </w:rPr>
        <w:t> </w:t>
      </w:r>
      <w:r w:rsidR="00D03EB4" w:rsidRPr="00AE525F">
        <w:rPr>
          <w:rFonts w:eastAsia="Times New Roman"/>
          <w:sz w:val="28"/>
          <w:szCs w:val="28"/>
          <w:lang w:val="uk-UA"/>
        </w:rPr>
        <w:t xml:space="preserve">% скоротило надходження цього податку на 0,6 млрд грн. </w:t>
      </w:r>
    </w:p>
    <w:p w:rsidR="00D03EB4" w:rsidRPr="00AE525F" w:rsidRDefault="00D03EB4" w:rsidP="008A7C7D">
      <w:pPr>
        <w:pStyle w:val="Default"/>
        <w:spacing w:line="360" w:lineRule="auto"/>
        <w:ind w:firstLine="567"/>
        <w:jc w:val="both"/>
        <w:rPr>
          <w:rFonts w:eastAsia="Times New Roman"/>
          <w:sz w:val="28"/>
          <w:szCs w:val="28"/>
          <w:lang w:val="uk-UA"/>
        </w:rPr>
      </w:pPr>
      <w:r w:rsidRPr="00AE525F">
        <w:rPr>
          <w:rFonts w:eastAsia="Times New Roman"/>
          <w:sz w:val="28"/>
          <w:szCs w:val="28"/>
          <w:lang w:val="uk-UA"/>
        </w:rPr>
        <w:t>До 2012 р. ПДФО в повному обсязі надходив до місцевих бюджетів і виступав закріпленим видом доходів, які враховувались при визначенні міжбюджетних трансфертів місцевим бюджетам. З 2012 р. ПДФО розподіляється у певних пропорціях між державним і місцевими бюджетами. Так, першочергово дані пропорції складали 50</w:t>
      </w:r>
      <w:r w:rsidR="00030C91" w:rsidRPr="00AE525F">
        <w:rPr>
          <w:rFonts w:eastAsia="Times New Roman"/>
          <w:sz w:val="28"/>
          <w:szCs w:val="28"/>
          <w:lang w:val="uk-UA"/>
        </w:rPr>
        <w:t> </w:t>
      </w:r>
      <w:r w:rsidRPr="00AE525F">
        <w:rPr>
          <w:rFonts w:eastAsia="Times New Roman"/>
          <w:sz w:val="28"/>
          <w:szCs w:val="28"/>
          <w:lang w:val="uk-UA"/>
        </w:rPr>
        <w:t>%</w:t>
      </w:r>
      <w:r w:rsidR="00030C91" w:rsidRPr="00AE525F">
        <w:rPr>
          <w:rFonts w:eastAsia="Times New Roman"/>
          <w:sz w:val="28"/>
          <w:szCs w:val="28"/>
          <w:lang w:val="uk-UA"/>
        </w:rPr>
        <w:t> </w:t>
      </w:r>
      <w:r w:rsidRPr="00AE525F">
        <w:rPr>
          <w:rFonts w:eastAsia="Times New Roman"/>
          <w:sz w:val="28"/>
          <w:szCs w:val="28"/>
          <w:lang w:val="uk-UA"/>
        </w:rPr>
        <w:t>/</w:t>
      </w:r>
      <w:r w:rsidR="00030C91" w:rsidRPr="00AE525F">
        <w:rPr>
          <w:rFonts w:eastAsia="Times New Roman"/>
          <w:sz w:val="28"/>
          <w:szCs w:val="28"/>
          <w:lang w:val="uk-UA"/>
        </w:rPr>
        <w:t> </w:t>
      </w:r>
      <w:r w:rsidRPr="00AE525F">
        <w:rPr>
          <w:rFonts w:eastAsia="Times New Roman"/>
          <w:sz w:val="28"/>
          <w:szCs w:val="28"/>
          <w:lang w:val="uk-UA"/>
        </w:rPr>
        <w:t>50</w:t>
      </w:r>
      <w:r w:rsidR="00030C91" w:rsidRPr="00AE525F">
        <w:rPr>
          <w:rFonts w:eastAsia="Times New Roman"/>
          <w:sz w:val="28"/>
          <w:szCs w:val="28"/>
          <w:lang w:val="uk-UA"/>
        </w:rPr>
        <w:t> </w:t>
      </w:r>
      <w:r w:rsidRPr="00AE525F">
        <w:rPr>
          <w:rFonts w:eastAsia="Times New Roman"/>
          <w:sz w:val="28"/>
          <w:szCs w:val="28"/>
          <w:lang w:val="uk-UA"/>
        </w:rPr>
        <w:t>% від обсягу податку, мобілізованого на території міста Києва (до бюджету міста Києва та державного бюджету). З 2015 р. до загального фонду державного бюджету зараховуються 25</w:t>
      </w:r>
      <w:r w:rsidR="00030C91" w:rsidRPr="00AE525F">
        <w:rPr>
          <w:rFonts w:eastAsia="Times New Roman"/>
          <w:sz w:val="28"/>
          <w:szCs w:val="28"/>
          <w:lang w:val="uk-UA"/>
        </w:rPr>
        <w:t> </w:t>
      </w:r>
      <w:r w:rsidRPr="00AE525F">
        <w:rPr>
          <w:rFonts w:eastAsia="Times New Roman"/>
          <w:sz w:val="28"/>
          <w:szCs w:val="28"/>
          <w:lang w:val="uk-UA"/>
        </w:rPr>
        <w:t>% податку, що сплачується на відповідній території України, та 60</w:t>
      </w:r>
      <w:r w:rsidR="00030C91" w:rsidRPr="00AE525F">
        <w:rPr>
          <w:rFonts w:eastAsia="Times New Roman"/>
          <w:sz w:val="28"/>
          <w:szCs w:val="28"/>
          <w:lang w:val="uk-UA"/>
        </w:rPr>
        <w:t> </w:t>
      </w:r>
      <w:r w:rsidRPr="00AE525F">
        <w:rPr>
          <w:rFonts w:eastAsia="Times New Roman"/>
          <w:sz w:val="28"/>
          <w:szCs w:val="28"/>
          <w:lang w:val="uk-UA"/>
        </w:rPr>
        <w:t>% – на території міста Києва.</w:t>
      </w:r>
    </w:p>
    <w:p w:rsidR="00BB2431" w:rsidRPr="00AE525F" w:rsidRDefault="00D03EB4" w:rsidP="00C21BEB">
      <w:pPr>
        <w:pStyle w:val="Default"/>
        <w:spacing w:line="360" w:lineRule="auto"/>
        <w:ind w:firstLine="708"/>
        <w:jc w:val="both"/>
        <w:rPr>
          <w:rFonts w:eastAsia="Times New Roman"/>
          <w:sz w:val="28"/>
          <w:szCs w:val="28"/>
          <w:lang w:val="uk-UA"/>
        </w:rPr>
      </w:pPr>
      <w:r w:rsidRPr="00AE525F">
        <w:rPr>
          <w:rFonts w:eastAsia="Times New Roman"/>
          <w:sz w:val="28"/>
          <w:szCs w:val="28"/>
          <w:lang w:val="uk-UA"/>
        </w:rPr>
        <w:t>Підтвердженням законодавчих змін послужила вітчизняна практика мобілізації ПДФО до державного та місцевих бюджетів. Зокрема, співвідношення частки ПДФО у структурі бюджетів різних рівнів за період 2013-201</w:t>
      </w:r>
      <w:r w:rsidR="003F4A70" w:rsidRPr="00AE525F">
        <w:rPr>
          <w:rFonts w:eastAsia="Times New Roman"/>
          <w:sz w:val="28"/>
          <w:szCs w:val="28"/>
          <w:lang w:val="uk-UA"/>
        </w:rPr>
        <w:t>7</w:t>
      </w:r>
      <w:r w:rsidRPr="00AE525F">
        <w:rPr>
          <w:rFonts w:eastAsia="Times New Roman"/>
          <w:sz w:val="28"/>
          <w:szCs w:val="28"/>
          <w:lang w:val="uk-UA"/>
        </w:rPr>
        <w:t xml:space="preserve"> рр. суттєво відрізняється. Якщо у 2013-2014 рр. у державному бюджеті вона становила 10,49</w:t>
      </w:r>
      <w:r w:rsidR="00030C91" w:rsidRPr="00AE525F">
        <w:rPr>
          <w:rFonts w:eastAsia="Times New Roman"/>
          <w:sz w:val="28"/>
          <w:szCs w:val="28"/>
          <w:lang w:val="uk-UA"/>
        </w:rPr>
        <w:t> </w:t>
      </w:r>
      <w:r w:rsidRPr="00AE525F">
        <w:rPr>
          <w:rFonts w:eastAsia="Times New Roman"/>
          <w:sz w:val="28"/>
          <w:szCs w:val="28"/>
          <w:lang w:val="uk-UA"/>
        </w:rPr>
        <w:t>% та 16,82</w:t>
      </w:r>
      <w:r w:rsidR="00030C91" w:rsidRPr="00AE525F">
        <w:rPr>
          <w:rFonts w:eastAsia="Times New Roman"/>
          <w:sz w:val="28"/>
          <w:szCs w:val="28"/>
          <w:lang w:val="uk-UA"/>
        </w:rPr>
        <w:t> </w:t>
      </w:r>
      <w:r w:rsidRPr="00AE525F">
        <w:rPr>
          <w:rFonts w:eastAsia="Times New Roman"/>
          <w:sz w:val="28"/>
          <w:szCs w:val="28"/>
          <w:lang w:val="uk-UA"/>
        </w:rPr>
        <w:t>%, то у наступних 2015-201</w:t>
      </w:r>
      <w:r w:rsidR="003F4A70" w:rsidRPr="00AE525F">
        <w:rPr>
          <w:rFonts w:eastAsia="Times New Roman"/>
          <w:sz w:val="28"/>
          <w:szCs w:val="28"/>
          <w:lang w:val="uk-UA"/>
        </w:rPr>
        <w:t>7</w:t>
      </w:r>
      <w:r w:rsidRPr="00AE525F">
        <w:rPr>
          <w:rFonts w:eastAsia="Times New Roman"/>
          <w:sz w:val="28"/>
          <w:szCs w:val="28"/>
          <w:lang w:val="uk-UA"/>
        </w:rPr>
        <w:t xml:space="preserve"> рр. вона суттєво зросла і складала 45,07</w:t>
      </w:r>
      <w:r w:rsidR="00030C91" w:rsidRPr="00AE525F">
        <w:rPr>
          <w:rFonts w:eastAsia="Times New Roman"/>
          <w:sz w:val="28"/>
          <w:szCs w:val="28"/>
          <w:lang w:val="uk-UA"/>
        </w:rPr>
        <w:t> </w:t>
      </w:r>
      <w:r w:rsidRPr="00AE525F">
        <w:rPr>
          <w:rFonts w:eastAsia="Times New Roman"/>
          <w:sz w:val="28"/>
          <w:szCs w:val="28"/>
          <w:lang w:val="uk-UA"/>
        </w:rPr>
        <w:t>% та 43,09</w:t>
      </w:r>
      <w:r w:rsidR="00030C91" w:rsidRPr="00AE525F">
        <w:rPr>
          <w:rFonts w:eastAsia="Times New Roman"/>
          <w:sz w:val="28"/>
          <w:szCs w:val="28"/>
          <w:lang w:val="uk-UA"/>
        </w:rPr>
        <w:t> </w:t>
      </w:r>
      <w:r w:rsidRPr="00AE525F">
        <w:rPr>
          <w:rFonts w:eastAsia="Times New Roman"/>
          <w:sz w:val="28"/>
          <w:szCs w:val="28"/>
          <w:lang w:val="uk-UA"/>
        </w:rPr>
        <w:t>% відповідно.</w:t>
      </w:r>
      <w:r w:rsidR="00C21BEB" w:rsidRPr="00AE525F">
        <w:rPr>
          <w:rFonts w:eastAsia="Times New Roman"/>
          <w:sz w:val="28"/>
          <w:szCs w:val="28"/>
          <w:lang w:val="uk-UA"/>
        </w:rPr>
        <w:t xml:space="preserve"> </w:t>
      </w:r>
      <w:r w:rsidRPr="00AE525F">
        <w:rPr>
          <w:rFonts w:eastAsia="Times New Roman"/>
          <w:sz w:val="28"/>
          <w:szCs w:val="28"/>
          <w:lang w:val="uk-UA"/>
        </w:rPr>
        <w:t>Відтак частка ПДФО місцевих бюджетів у структурі цього податку зведеного бюджету скоротилася і у 201</w:t>
      </w:r>
      <w:r w:rsidR="003F4A70" w:rsidRPr="00AE525F">
        <w:rPr>
          <w:rFonts w:eastAsia="Times New Roman"/>
          <w:sz w:val="28"/>
          <w:szCs w:val="28"/>
          <w:lang w:val="uk-UA"/>
        </w:rPr>
        <w:t>7</w:t>
      </w:r>
      <w:r w:rsidRPr="00AE525F">
        <w:rPr>
          <w:rFonts w:eastAsia="Times New Roman"/>
          <w:sz w:val="28"/>
          <w:szCs w:val="28"/>
          <w:lang w:val="uk-UA"/>
        </w:rPr>
        <w:t xml:space="preserve"> р. пропорції розподілу ПДФО були практично близькими за значеннями 43,09</w:t>
      </w:r>
      <w:r w:rsidR="00030C91" w:rsidRPr="00AE525F">
        <w:rPr>
          <w:rFonts w:eastAsia="Times New Roman"/>
          <w:sz w:val="28"/>
          <w:szCs w:val="28"/>
          <w:lang w:val="uk-UA"/>
        </w:rPr>
        <w:t> </w:t>
      </w:r>
      <w:r w:rsidRPr="00AE525F">
        <w:rPr>
          <w:rFonts w:eastAsia="Times New Roman"/>
          <w:sz w:val="28"/>
          <w:szCs w:val="28"/>
          <w:lang w:val="uk-UA"/>
        </w:rPr>
        <w:t>%</w:t>
      </w:r>
      <w:r w:rsidR="00030C91" w:rsidRPr="00AE525F">
        <w:rPr>
          <w:rFonts w:eastAsia="Times New Roman"/>
          <w:sz w:val="28"/>
          <w:szCs w:val="28"/>
          <w:lang w:val="uk-UA"/>
        </w:rPr>
        <w:t> </w:t>
      </w:r>
      <w:r w:rsidRPr="00AE525F">
        <w:rPr>
          <w:rFonts w:eastAsia="Times New Roman"/>
          <w:sz w:val="28"/>
          <w:szCs w:val="28"/>
          <w:lang w:val="uk-UA"/>
        </w:rPr>
        <w:t>/</w:t>
      </w:r>
      <w:r w:rsidR="00030C91" w:rsidRPr="00AE525F">
        <w:rPr>
          <w:rFonts w:eastAsia="Times New Roman"/>
          <w:sz w:val="28"/>
          <w:szCs w:val="28"/>
          <w:lang w:val="uk-UA"/>
        </w:rPr>
        <w:t> </w:t>
      </w:r>
      <w:r w:rsidRPr="00AE525F">
        <w:rPr>
          <w:rFonts w:eastAsia="Times New Roman"/>
          <w:sz w:val="28"/>
          <w:szCs w:val="28"/>
          <w:lang w:val="uk-UA"/>
        </w:rPr>
        <w:t>56,91</w:t>
      </w:r>
      <w:r w:rsidR="00030C91" w:rsidRPr="00AE525F">
        <w:rPr>
          <w:rFonts w:eastAsia="Times New Roman"/>
          <w:sz w:val="28"/>
          <w:szCs w:val="28"/>
          <w:lang w:val="uk-UA"/>
        </w:rPr>
        <w:t> </w:t>
      </w:r>
      <w:r w:rsidRPr="00AE525F">
        <w:rPr>
          <w:rFonts w:eastAsia="Times New Roman"/>
          <w:sz w:val="28"/>
          <w:szCs w:val="28"/>
          <w:lang w:val="uk-UA"/>
        </w:rPr>
        <w:t>%.</w:t>
      </w:r>
    </w:p>
    <w:p w:rsidR="00C21BEB" w:rsidRPr="00AE525F" w:rsidRDefault="00BB2431" w:rsidP="00C21BEB">
      <w:pPr>
        <w:spacing w:after="0" w:line="360" w:lineRule="auto"/>
        <w:ind w:firstLine="708"/>
        <w:jc w:val="both"/>
        <w:rPr>
          <w:rFonts w:ascii="Times New Roman" w:hAnsi="Times New Roman" w:cs="Times New Roman"/>
          <w:sz w:val="28"/>
          <w:szCs w:val="28"/>
          <w:lang w:val="uk-UA"/>
        </w:rPr>
      </w:pPr>
      <w:r w:rsidRPr="00AE525F">
        <w:rPr>
          <w:rFonts w:ascii="Times New Roman" w:hAnsi="Times New Roman" w:cs="Times New Roman"/>
          <w:sz w:val="28"/>
          <w:szCs w:val="28"/>
          <w:lang w:val="uk-UA"/>
        </w:rPr>
        <w:t xml:space="preserve">Податок на прибуток підприємств, який наповнює місцеві бюджети, у 2014 р. становив 259,5 млн грн. Зазначимо, що у 2014 р. до місцевих бюджетів зараховувався цей податок від підприємств і установ комунальної власності. Крім того, у цьому році було запроваджено практику сплати авансових платежів з цього податку, що мало суттєвий негативний вплив на фінансовий стан підприємств, адже відволікало значну частку обігових коштів. Так, у </w:t>
      </w:r>
      <w:r w:rsidRPr="00AE525F">
        <w:rPr>
          <w:rFonts w:ascii="Times New Roman" w:hAnsi="Times New Roman" w:cs="Times New Roman"/>
          <w:sz w:val="28"/>
          <w:szCs w:val="28"/>
          <w:lang w:val="uk-UA"/>
        </w:rPr>
        <w:lastRenderedPageBreak/>
        <w:t>2014</w:t>
      </w:r>
      <w:r w:rsidR="00030C91"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р. податок на прибуток підприємств комунальної власності становив 139,4 млн грн, а сума авансових платежів – 120,7 млн грн.</w:t>
      </w:r>
    </w:p>
    <w:p w:rsidR="00BB2431" w:rsidRPr="00AE525F" w:rsidRDefault="00BB2431" w:rsidP="00C21BEB">
      <w:pPr>
        <w:spacing w:after="0" w:line="360" w:lineRule="auto"/>
        <w:ind w:firstLine="708"/>
        <w:jc w:val="both"/>
        <w:rPr>
          <w:rFonts w:ascii="Times New Roman" w:hAnsi="Times New Roman" w:cs="Times New Roman"/>
          <w:sz w:val="28"/>
          <w:szCs w:val="28"/>
          <w:lang w:val="uk-UA"/>
        </w:rPr>
      </w:pPr>
      <w:r w:rsidRPr="00AE525F">
        <w:rPr>
          <w:rFonts w:ascii="Times New Roman" w:hAnsi="Times New Roman" w:cs="Times New Roman"/>
          <w:sz w:val="28"/>
          <w:szCs w:val="28"/>
          <w:lang w:val="uk-UA"/>
        </w:rPr>
        <w:t>У наступні 2015-201</w:t>
      </w:r>
      <w:r w:rsidR="003F4A70" w:rsidRPr="00AE525F">
        <w:rPr>
          <w:rFonts w:ascii="Times New Roman" w:hAnsi="Times New Roman" w:cs="Times New Roman"/>
          <w:sz w:val="28"/>
          <w:szCs w:val="28"/>
          <w:lang w:val="uk-UA"/>
        </w:rPr>
        <w:t>7</w:t>
      </w:r>
      <w:r w:rsidRPr="00AE525F">
        <w:rPr>
          <w:rFonts w:ascii="Times New Roman" w:hAnsi="Times New Roman" w:cs="Times New Roman"/>
          <w:sz w:val="28"/>
          <w:szCs w:val="28"/>
          <w:lang w:val="uk-UA"/>
        </w:rPr>
        <w:t xml:space="preserve"> рр. до доходів місцевих бюджетів передано 10</w:t>
      </w:r>
      <w:r w:rsidR="00030C91"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податку на прибуток підприємств приватного сектору економіки, зокрема цей платіж надходить до обласних бюджетів і враховується у формулі обчислення податкоспроможності території для визначення обсягу дотацій.</w:t>
      </w:r>
    </w:p>
    <w:p w:rsidR="00BB2431" w:rsidRPr="00AE525F" w:rsidRDefault="00BB2431" w:rsidP="00030C91">
      <w:pPr>
        <w:spacing w:after="0" w:line="360" w:lineRule="auto"/>
        <w:ind w:firstLine="567"/>
        <w:jc w:val="both"/>
        <w:rPr>
          <w:rFonts w:ascii="Times New Roman" w:hAnsi="Times New Roman" w:cs="Times New Roman"/>
          <w:sz w:val="28"/>
          <w:szCs w:val="28"/>
          <w:lang w:val="uk-UA"/>
        </w:rPr>
      </w:pPr>
      <w:r w:rsidRPr="00AE525F">
        <w:rPr>
          <w:rFonts w:ascii="Times New Roman" w:hAnsi="Times New Roman" w:cs="Times New Roman"/>
          <w:sz w:val="28"/>
          <w:szCs w:val="28"/>
          <w:lang w:val="uk-UA"/>
        </w:rPr>
        <w:t xml:space="preserve">У 2015 р. обсяг надходження податку на прибуток підприємств становив 4276,8 млн. грн., а у 2016 р. відмічено зростання цього показника до 5879,1 млн грн. Зростання відбулося на 1602,3 млн грн. </w:t>
      </w:r>
      <w:r w:rsidR="003F4A70" w:rsidRPr="00AE525F">
        <w:rPr>
          <w:rFonts w:ascii="Times New Roman" w:hAnsi="Times New Roman" w:cs="Times New Roman"/>
          <w:sz w:val="28"/>
          <w:szCs w:val="28"/>
          <w:lang w:val="uk-UA"/>
        </w:rPr>
        <w:t>У 2017 р.</w:t>
      </w:r>
      <w:r w:rsidR="00D50D0A" w:rsidRPr="00AE525F">
        <w:rPr>
          <w:rFonts w:ascii="Times New Roman" w:hAnsi="Times New Roman" w:cs="Times New Roman"/>
          <w:sz w:val="28"/>
          <w:szCs w:val="28"/>
          <w:lang w:val="uk-UA"/>
        </w:rPr>
        <w:t xml:space="preserve"> сума цього податку становила 6</w:t>
      </w:r>
      <w:r w:rsidR="003F4A70" w:rsidRPr="00AE525F">
        <w:rPr>
          <w:rFonts w:ascii="Times New Roman" w:hAnsi="Times New Roman" w:cs="Times New Roman"/>
          <w:sz w:val="28"/>
          <w:szCs w:val="28"/>
          <w:lang w:val="uk-UA"/>
        </w:rPr>
        <w:t>48</w:t>
      </w:r>
      <w:r w:rsidR="00D50D0A" w:rsidRPr="00AE525F">
        <w:rPr>
          <w:rFonts w:ascii="Times New Roman" w:hAnsi="Times New Roman" w:cs="Times New Roman"/>
          <w:sz w:val="28"/>
          <w:szCs w:val="28"/>
          <w:lang w:val="uk-UA"/>
        </w:rPr>
        <w:t>4,8 млн</w:t>
      </w:r>
      <w:r w:rsidR="003F4A70" w:rsidRPr="00AE525F">
        <w:rPr>
          <w:rFonts w:ascii="Times New Roman" w:hAnsi="Times New Roman" w:cs="Times New Roman"/>
          <w:sz w:val="28"/>
          <w:szCs w:val="28"/>
          <w:lang w:val="uk-UA"/>
        </w:rPr>
        <w:t xml:space="preserve"> грн. </w:t>
      </w:r>
      <w:r w:rsidRPr="00AE525F">
        <w:rPr>
          <w:rFonts w:ascii="Times New Roman" w:hAnsi="Times New Roman" w:cs="Times New Roman"/>
          <w:sz w:val="28"/>
          <w:szCs w:val="28"/>
          <w:lang w:val="uk-UA"/>
        </w:rPr>
        <w:t>Питома вага податку на прибуток підприємств у доходах місцевих бюджетів складає 1,2</w:t>
      </w:r>
      <w:r w:rsidR="003462FA" w:rsidRPr="00AE525F">
        <w:rPr>
          <w:rFonts w:ascii="Times New Roman" w:hAnsi="Times New Roman" w:cs="Times New Roman"/>
          <w:sz w:val="28"/>
          <w:szCs w:val="28"/>
          <w:lang w:val="uk-UA"/>
        </w:rPr>
        <w:t>9</w:t>
      </w:r>
      <w:r w:rsidR="00030C91"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у податкових надходженнях – 4</w:t>
      </w:r>
      <w:r w:rsidR="00EF70C6"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а у структурі загальнодержавних податків і зборів – 5,8</w:t>
      </w:r>
      <w:r w:rsidR="00EF70C6"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w:t>
      </w:r>
    </w:p>
    <w:p w:rsidR="00BB2431" w:rsidRPr="00AE525F" w:rsidRDefault="00BB2431" w:rsidP="00EF70C6">
      <w:pPr>
        <w:spacing w:after="0" w:line="360" w:lineRule="auto"/>
        <w:ind w:firstLine="567"/>
        <w:jc w:val="both"/>
        <w:rPr>
          <w:rFonts w:ascii="Times New Roman" w:hAnsi="Times New Roman" w:cs="Times New Roman"/>
          <w:sz w:val="28"/>
          <w:szCs w:val="28"/>
          <w:lang w:val="uk-UA"/>
        </w:rPr>
      </w:pPr>
      <w:r w:rsidRPr="00AE525F">
        <w:rPr>
          <w:rFonts w:ascii="Times New Roman" w:hAnsi="Times New Roman" w:cs="Times New Roman"/>
          <w:sz w:val="28"/>
          <w:szCs w:val="28"/>
          <w:lang w:val="uk-UA"/>
        </w:rPr>
        <w:t xml:space="preserve">У складі податку на прибуток підприємств більше </w:t>
      </w:r>
      <w:r w:rsidR="003462FA" w:rsidRPr="00AE525F">
        <w:rPr>
          <w:rFonts w:ascii="Times New Roman" w:hAnsi="Times New Roman" w:cs="Times New Roman"/>
          <w:sz w:val="28"/>
          <w:szCs w:val="28"/>
          <w:lang w:val="uk-UA"/>
        </w:rPr>
        <w:t>71</w:t>
      </w:r>
      <w:r w:rsidR="00EF70C6"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xml:space="preserve">% займає податок на прибуток приватних підприємств, що становить </w:t>
      </w:r>
      <w:r w:rsidR="003462FA" w:rsidRPr="00AE525F">
        <w:rPr>
          <w:rFonts w:ascii="Times New Roman" w:hAnsi="Times New Roman" w:cs="Times New Roman"/>
          <w:sz w:val="28"/>
          <w:szCs w:val="28"/>
          <w:lang w:val="uk-UA"/>
        </w:rPr>
        <w:t>4660,4</w:t>
      </w:r>
      <w:r w:rsidRPr="00AE525F">
        <w:rPr>
          <w:rFonts w:ascii="Times New Roman" w:hAnsi="Times New Roman" w:cs="Times New Roman"/>
          <w:sz w:val="28"/>
          <w:szCs w:val="28"/>
          <w:lang w:val="uk-UA"/>
        </w:rPr>
        <w:t xml:space="preserve"> млн грн надходжень у 201</w:t>
      </w:r>
      <w:r w:rsidR="003462FA" w:rsidRPr="00AE525F">
        <w:rPr>
          <w:rFonts w:ascii="Times New Roman" w:hAnsi="Times New Roman" w:cs="Times New Roman"/>
          <w:sz w:val="28"/>
          <w:szCs w:val="28"/>
          <w:lang w:val="uk-UA"/>
        </w:rPr>
        <w:t>7</w:t>
      </w:r>
      <w:r w:rsidRPr="00AE525F">
        <w:rPr>
          <w:rFonts w:ascii="Times New Roman" w:hAnsi="Times New Roman" w:cs="Times New Roman"/>
          <w:sz w:val="28"/>
          <w:szCs w:val="28"/>
          <w:lang w:val="uk-UA"/>
        </w:rPr>
        <w:t xml:space="preserve"> р. У 2015 р. сума податку на прибуток приватних підприємств була майже вдвічі меншою і становила 2403,5 млн грн, що склало 56,9</w:t>
      </w:r>
      <w:r w:rsidR="00EF70C6"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цих надходжень.</w:t>
      </w:r>
    </w:p>
    <w:p w:rsidR="00BB2431" w:rsidRPr="00AE525F" w:rsidRDefault="00BB2431" w:rsidP="00EF70C6">
      <w:pPr>
        <w:spacing w:after="0" w:line="360" w:lineRule="auto"/>
        <w:ind w:firstLine="567"/>
        <w:jc w:val="both"/>
        <w:rPr>
          <w:rFonts w:ascii="Times New Roman" w:hAnsi="Times New Roman" w:cs="Times New Roman"/>
          <w:sz w:val="28"/>
          <w:szCs w:val="28"/>
          <w:lang w:val="uk-UA"/>
        </w:rPr>
      </w:pPr>
      <w:r w:rsidRPr="00AE525F">
        <w:rPr>
          <w:rFonts w:ascii="Times New Roman" w:hAnsi="Times New Roman" w:cs="Times New Roman"/>
          <w:sz w:val="28"/>
          <w:szCs w:val="28"/>
          <w:lang w:val="uk-UA"/>
        </w:rPr>
        <w:t>Вагомим джерелом надходжень у складі податку на прибуток підприємств є надходження від підприємств, створених за участю іноземних інвесторів. Питома вага цих надходжень у 2015 р. становила 18,74</w:t>
      </w:r>
      <w:r w:rsidR="00EF70C6"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усіх надходжень від податку на прибуток підприємств, який надходить до місцевих бюджетів, а у 201</w:t>
      </w:r>
      <w:r w:rsidR="003462FA" w:rsidRPr="00AE525F">
        <w:rPr>
          <w:rFonts w:ascii="Times New Roman" w:hAnsi="Times New Roman" w:cs="Times New Roman"/>
          <w:sz w:val="28"/>
          <w:szCs w:val="28"/>
          <w:lang w:val="uk-UA"/>
        </w:rPr>
        <w:t>6</w:t>
      </w:r>
      <w:r w:rsidRPr="00AE525F">
        <w:rPr>
          <w:rFonts w:ascii="Times New Roman" w:hAnsi="Times New Roman" w:cs="Times New Roman"/>
          <w:sz w:val="28"/>
          <w:szCs w:val="28"/>
          <w:lang w:val="uk-UA"/>
        </w:rPr>
        <w:t xml:space="preserve"> р. – 16,18</w:t>
      </w:r>
      <w:r w:rsidR="00EF70C6"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При цьому абсолютні значення цього податкового платежу зросли з 801,4 млн</w:t>
      </w:r>
      <w:r w:rsidR="00EF70C6"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грн</w:t>
      </w:r>
      <w:r w:rsidR="00EF70C6" w:rsidRPr="00AE525F">
        <w:rPr>
          <w:rFonts w:ascii="Times New Roman" w:hAnsi="Times New Roman" w:cs="Times New Roman"/>
          <w:sz w:val="28"/>
          <w:szCs w:val="28"/>
          <w:lang w:val="uk-UA"/>
        </w:rPr>
        <w:t xml:space="preserve"> у 2015 р. до 951,3 млн </w:t>
      </w:r>
      <w:r w:rsidRPr="00AE525F">
        <w:rPr>
          <w:rFonts w:ascii="Times New Roman" w:hAnsi="Times New Roman" w:cs="Times New Roman"/>
          <w:sz w:val="28"/>
          <w:szCs w:val="28"/>
          <w:lang w:val="uk-UA"/>
        </w:rPr>
        <w:t>грн у 2016 р. або на 149,9 млн</w:t>
      </w:r>
      <w:r w:rsidR="00EF70C6"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грн.</w:t>
      </w:r>
      <w:r w:rsidR="003462FA" w:rsidRPr="00AE525F">
        <w:rPr>
          <w:rFonts w:ascii="Times New Roman" w:hAnsi="Times New Roman" w:cs="Times New Roman"/>
          <w:sz w:val="28"/>
          <w:szCs w:val="28"/>
          <w:lang w:val="uk-UA"/>
        </w:rPr>
        <w:t xml:space="preserve"> Проте, у 2017 р. відмі</w:t>
      </w:r>
      <w:r w:rsidR="00EF70C6" w:rsidRPr="00AE525F">
        <w:rPr>
          <w:rFonts w:ascii="Times New Roman" w:hAnsi="Times New Roman" w:cs="Times New Roman"/>
          <w:sz w:val="28"/>
          <w:szCs w:val="28"/>
          <w:lang w:val="uk-UA"/>
        </w:rPr>
        <w:t>чено їх зменшення до 775,01 млн </w:t>
      </w:r>
      <w:r w:rsidR="003462FA" w:rsidRPr="00AE525F">
        <w:rPr>
          <w:rFonts w:ascii="Times New Roman" w:hAnsi="Times New Roman" w:cs="Times New Roman"/>
          <w:sz w:val="28"/>
          <w:szCs w:val="28"/>
          <w:lang w:val="uk-UA"/>
        </w:rPr>
        <w:t>грн</w:t>
      </w:r>
      <w:r w:rsidR="00D50D0A" w:rsidRPr="00AE525F">
        <w:rPr>
          <w:rFonts w:ascii="Times New Roman" w:hAnsi="Times New Roman" w:cs="Times New Roman"/>
          <w:sz w:val="28"/>
          <w:szCs w:val="28"/>
          <w:lang w:val="uk-UA"/>
        </w:rPr>
        <w:t>, що вказує на негативні сигнали у вітчизняній економіці щодо зменшення інвестиційної привабливості для іноземного інвестора. Причиною такого явища є нестійка законодавча база та зростання ризиків.</w:t>
      </w:r>
    </w:p>
    <w:p w:rsidR="00BB2431" w:rsidRPr="00AE525F" w:rsidRDefault="00BB2431" w:rsidP="00EF70C6">
      <w:pPr>
        <w:spacing w:after="0" w:line="360" w:lineRule="auto"/>
        <w:ind w:firstLine="567"/>
        <w:jc w:val="both"/>
        <w:rPr>
          <w:rFonts w:ascii="Times New Roman" w:hAnsi="Times New Roman" w:cs="Times New Roman"/>
          <w:sz w:val="28"/>
          <w:szCs w:val="28"/>
          <w:lang w:val="uk-UA"/>
        </w:rPr>
      </w:pPr>
      <w:r w:rsidRPr="00AE525F">
        <w:rPr>
          <w:rFonts w:ascii="Times New Roman" w:hAnsi="Times New Roman" w:cs="Times New Roman"/>
          <w:sz w:val="28"/>
          <w:szCs w:val="28"/>
          <w:lang w:val="uk-UA"/>
        </w:rPr>
        <w:t>Частка податку на прибуток іноземних юридичних осіб в Україні у 201</w:t>
      </w:r>
      <w:r w:rsidR="003462FA" w:rsidRPr="00AE525F">
        <w:rPr>
          <w:rFonts w:ascii="Times New Roman" w:hAnsi="Times New Roman" w:cs="Times New Roman"/>
          <w:sz w:val="28"/>
          <w:szCs w:val="28"/>
          <w:lang w:val="uk-UA"/>
        </w:rPr>
        <w:t>7</w:t>
      </w:r>
      <w:r w:rsidRPr="00AE525F">
        <w:rPr>
          <w:rFonts w:ascii="Times New Roman" w:hAnsi="Times New Roman" w:cs="Times New Roman"/>
          <w:sz w:val="28"/>
          <w:szCs w:val="28"/>
          <w:lang w:val="uk-UA"/>
        </w:rPr>
        <w:t xml:space="preserve"> р. становила 6</w:t>
      </w:r>
      <w:r w:rsidR="00EF70C6"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що менше на 1 відсотковий пункт</w:t>
      </w:r>
      <w:r w:rsidR="00D50D0A" w:rsidRPr="00AE525F">
        <w:rPr>
          <w:rFonts w:ascii="Times New Roman" w:hAnsi="Times New Roman" w:cs="Times New Roman"/>
          <w:sz w:val="28"/>
          <w:szCs w:val="28"/>
          <w:lang w:val="uk-UA"/>
        </w:rPr>
        <w:t>,</w:t>
      </w:r>
      <w:r w:rsidRPr="00AE525F">
        <w:rPr>
          <w:rFonts w:ascii="Times New Roman" w:hAnsi="Times New Roman" w:cs="Times New Roman"/>
          <w:sz w:val="28"/>
          <w:szCs w:val="28"/>
          <w:lang w:val="uk-UA"/>
        </w:rPr>
        <w:t xml:space="preserve"> ніж у попередньому ро</w:t>
      </w:r>
      <w:r w:rsidR="003462FA" w:rsidRPr="00AE525F">
        <w:rPr>
          <w:rFonts w:ascii="Times New Roman" w:hAnsi="Times New Roman" w:cs="Times New Roman"/>
          <w:sz w:val="28"/>
          <w:szCs w:val="28"/>
          <w:lang w:val="uk-UA"/>
        </w:rPr>
        <w:t>ці</w:t>
      </w:r>
      <w:r w:rsidRPr="00AE525F">
        <w:rPr>
          <w:rFonts w:ascii="Times New Roman" w:hAnsi="Times New Roman" w:cs="Times New Roman"/>
          <w:sz w:val="28"/>
          <w:szCs w:val="28"/>
          <w:lang w:val="uk-UA"/>
        </w:rPr>
        <w:t>. При цьому абсолютні з</w:t>
      </w:r>
      <w:r w:rsidR="00EF70C6" w:rsidRPr="00AE525F">
        <w:rPr>
          <w:rFonts w:ascii="Times New Roman" w:hAnsi="Times New Roman" w:cs="Times New Roman"/>
          <w:sz w:val="28"/>
          <w:szCs w:val="28"/>
          <w:lang w:val="uk-UA"/>
        </w:rPr>
        <w:t xml:space="preserve">начення цього платежу зросли з </w:t>
      </w:r>
      <w:r w:rsidRPr="00AE525F">
        <w:rPr>
          <w:rFonts w:ascii="Times New Roman" w:hAnsi="Times New Roman" w:cs="Times New Roman"/>
          <w:sz w:val="28"/>
          <w:szCs w:val="28"/>
          <w:lang w:val="uk-UA"/>
        </w:rPr>
        <w:t>299,6 млн</w:t>
      </w:r>
      <w:r w:rsidR="00EF70C6"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грн до 352,2 млн</w:t>
      </w:r>
      <w:r w:rsidR="00EF70C6"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грн або на 52,6 млн грн.</w:t>
      </w:r>
    </w:p>
    <w:p w:rsidR="00BB2431" w:rsidRPr="00AE525F" w:rsidRDefault="00BB2431" w:rsidP="00BB2431">
      <w:pPr>
        <w:spacing w:after="0" w:line="360" w:lineRule="auto"/>
        <w:ind w:firstLine="708"/>
        <w:jc w:val="both"/>
        <w:rPr>
          <w:rFonts w:ascii="Times New Roman" w:hAnsi="Times New Roman" w:cs="Times New Roman"/>
          <w:sz w:val="28"/>
          <w:szCs w:val="28"/>
          <w:lang w:val="uk-UA"/>
        </w:rPr>
      </w:pPr>
      <w:r w:rsidRPr="00AE525F">
        <w:rPr>
          <w:rFonts w:ascii="Times New Roman" w:hAnsi="Times New Roman" w:cs="Times New Roman"/>
          <w:sz w:val="28"/>
          <w:szCs w:val="28"/>
          <w:lang w:val="uk-UA"/>
        </w:rPr>
        <w:lastRenderedPageBreak/>
        <w:t>Близькими за значеннями є надходження від податку на прибуток підприємств і установ комунальної власності та податку на прибуток банківських установ у 201</w:t>
      </w:r>
      <w:r w:rsidR="00D50D0A" w:rsidRPr="00AE525F">
        <w:rPr>
          <w:rFonts w:ascii="Times New Roman" w:hAnsi="Times New Roman" w:cs="Times New Roman"/>
          <w:sz w:val="28"/>
          <w:szCs w:val="28"/>
          <w:lang w:val="uk-UA"/>
        </w:rPr>
        <w:t>7</w:t>
      </w:r>
      <w:r w:rsidRPr="00AE525F">
        <w:rPr>
          <w:rFonts w:ascii="Times New Roman" w:hAnsi="Times New Roman" w:cs="Times New Roman"/>
          <w:sz w:val="28"/>
          <w:szCs w:val="28"/>
          <w:lang w:val="uk-UA"/>
        </w:rPr>
        <w:t xml:space="preserve"> р. Їх питома вага у структурі податку на прибуток підприємств становить 3,92</w:t>
      </w:r>
      <w:r w:rsidR="00EF70C6"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та 3,56</w:t>
      </w:r>
      <w:r w:rsidR="00EF70C6"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відповідно. Хоча у 2015 р. питома вага податку на прибуток комунальних підприємств становила 13,72</w:t>
      </w:r>
      <w:r w:rsidR="00EF70C6"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що обумовлено їх нерентабельною діяльністю. Абсолютні значення податку на прибуток підприємств комунальної власності за період 2015-201</w:t>
      </w:r>
      <w:r w:rsidR="00D50D0A" w:rsidRPr="00AE525F">
        <w:rPr>
          <w:rFonts w:ascii="Times New Roman" w:hAnsi="Times New Roman" w:cs="Times New Roman"/>
          <w:sz w:val="28"/>
          <w:szCs w:val="28"/>
          <w:lang w:val="uk-UA"/>
        </w:rPr>
        <w:t>7</w:t>
      </w:r>
      <w:r w:rsidRPr="00AE525F">
        <w:rPr>
          <w:rFonts w:ascii="Times New Roman" w:hAnsi="Times New Roman" w:cs="Times New Roman"/>
          <w:sz w:val="28"/>
          <w:szCs w:val="28"/>
          <w:lang w:val="uk-UA"/>
        </w:rPr>
        <w:t xml:space="preserve"> рр. скоротилися з 586,9 млн</w:t>
      </w:r>
      <w:r w:rsidR="00EF70C6"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xml:space="preserve">грн. до </w:t>
      </w:r>
      <w:r w:rsidR="00D50D0A" w:rsidRPr="00AE525F">
        <w:rPr>
          <w:rFonts w:ascii="Times New Roman" w:hAnsi="Times New Roman" w:cs="Times New Roman"/>
          <w:sz w:val="28"/>
          <w:szCs w:val="28"/>
          <w:lang w:val="uk-UA"/>
        </w:rPr>
        <w:t>319,5 млн</w:t>
      </w:r>
      <w:r w:rsidR="00EF70C6"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xml:space="preserve">грн. або на </w:t>
      </w:r>
      <w:r w:rsidR="00D50D0A" w:rsidRPr="00AE525F">
        <w:rPr>
          <w:rFonts w:ascii="Times New Roman" w:hAnsi="Times New Roman" w:cs="Times New Roman"/>
          <w:sz w:val="28"/>
          <w:szCs w:val="28"/>
          <w:lang w:val="uk-UA"/>
        </w:rPr>
        <w:t>267,4</w:t>
      </w:r>
      <w:r w:rsidRPr="00AE525F">
        <w:rPr>
          <w:rFonts w:ascii="Times New Roman" w:hAnsi="Times New Roman" w:cs="Times New Roman"/>
          <w:sz w:val="28"/>
          <w:szCs w:val="28"/>
          <w:lang w:val="uk-UA"/>
        </w:rPr>
        <w:t xml:space="preserve"> млн</w:t>
      </w:r>
      <w:r w:rsidR="00EF70C6"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грн. Натомість абсолютні показники надходження податку на прибуток банківських організацій зросли з 87,4 млн</w:t>
      </w:r>
      <w:r w:rsidR="00EF70C6"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xml:space="preserve">грн. у 2015 р. до </w:t>
      </w:r>
      <w:r w:rsidR="001B14D2" w:rsidRPr="00AE525F">
        <w:rPr>
          <w:rFonts w:ascii="Times New Roman" w:hAnsi="Times New Roman" w:cs="Times New Roman"/>
          <w:sz w:val="28"/>
          <w:szCs w:val="28"/>
          <w:lang w:val="uk-UA"/>
        </w:rPr>
        <w:t>153,3</w:t>
      </w:r>
      <w:r w:rsidRPr="00AE525F">
        <w:rPr>
          <w:rFonts w:ascii="Times New Roman" w:hAnsi="Times New Roman" w:cs="Times New Roman"/>
          <w:sz w:val="28"/>
          <w:szCs w:val="28"/>
          <w:lang w:val="uk-UA"/>
        </w:rPr>
        <w:t xml:space="preserve"> млн</w:t>
      </w:r>
      <w:r w:rsidR="00EF70C6"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грн. у 201</w:t>
      </w:r>
      <w:r w:rsidR="001B14D2" w:rsidRPr="00AE525F">
        <w:rPr>
          <w:rFonts w:ascii="Times New Roman" w:hAnsi="Times New Roman" w:cs="Times New Roman"/>
          <w:sz w:val="28"/>
          <w:szCs w:val="28"/>
          <w:lang w:val="uk-UA"/>
        </w:rPr>
        <w:t>7</w:t>
      </w:r>
      <w:r w:rsidRPr="00AE525F">
        <w:rPr>
          <w:rFonts w:ascii="Times New Roman" w:hAnsi="Times New Roman" w:cs="Times New Roman"/>
          <w:sz w:val="28"/>
          <w:szCs w:val="28"/>
          <w:lang w:val="uk-UA"/>
        </w:rPr>
        <w:t xml:space="preserve"> р. або на </w:t>
      </w:r>
      <w:r w:rsidR="001B14D2" w:rsidRPr="00AE525F">
        <w:rPr>
          <w:rFonts w:ascii="Times New Roman" w:hAnsi="Times New Roman" w:cs="Times New Roman"/>
          <w:sz w:val="28"/>
          <w:szCs w:val="28"/>
          <w:lang w:val="uk-UA"/>
        </w:rPr>
        <w:t>65,9</w:t>
      </w:r>
      <w:r w:rsidRPr="00AE525F">
        <w:rPr>
          <w:rFonts w:ascii="Times New Roman" w:hAnsi="Times New Roman" w:cs="Times New Roman"/>
          <w:sz w:val="28"/>
          <w:szCs w:val="28"/>
          <w:lang w:val="uk-UA"/>
        </w:rPr>
        <w:t xml:space="preserve"> млн</w:t>
      </w:r>
      <w:r w:rsidR="00EF70C6"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грн.</w:t>
      </w:r>
    </w:p>
    <w:p w:rsidR="00BB2431" w:rsidRPr="00AE525F" w:rsidRDefault="00BB2431" w:rsidP="00BB2431">
      <w:pPr>
        <w:spacing w:after="0" w:line="360" w:lineRule="auto"/>
        <w:ind w:firstLine="708"/>
        <w:jc w:val="both"/>
        <w:rPr>
          <w:rFonts w:ascii="Times New Roman" w:hAnsi="Times New Roman" w:cs="Times New Roman"/>
          <w:sz w:val="28"/>
          <w:szCs w:val="28"/>
          <w:lang w:val="uk-UA"/>
        </w:rPr>
      </w:pPr>
      <w:r w:rsidRPr="00AE525F">
        <w:rPr>
          <w:rFonts w:ascii="Times New Roman" w:hAnsi="Times New Roman" w:cs="Times New Roman"/>
          <w:sz w:val="28"/>
          <w:szCs w:val="28"/>
          <w:lang w:val="uk-UA"/>
        </w:rPr>
        <w:t>Суттєве зростання за аналізований період відбулося по надходженню акцизного податку з роздрібного продажу підакцизних товарів. Так, акцизний податок у динаміці 2014-201</w:t>
      </w:r>
      <w:r w:rsidR="001B14D2" w:rsidRPr="00AE525F">
        <w:rPr>
          <w:rFonts w:ascii="Times New Roman" w:hAnsi="Times New Roman" w:cs="Times New Roman"/>
          <w:sz w:val="28"/>
          <w:szCs w:val="28"/>
          <w:lang w:val="uk-UA"/>
        </w:rPr>
        <w:t>7</w:t>
      </w:r>
      <w:r w:rsidRPr="00AE525F">
        <w:rPr>
          <w:rFonts w:ascii="Times New Roman" w:hAnsi="Times New Roman" w:cs="Times New Roman"/>
          <w:sz w:val="28"/>
          <w:szCs w:val="28"/>
          <w:lang w:val="uk-UA"/>
        </w:rPr>
        <w:t xml:space="preserve"> рр. зріс з 0,16 млрд</w:t>
      </w:r>
      <w:r w:rsidR="00EF70C6"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грн до 1</w:t>
      </w:r>
      <w:r w:rsidR="001B14D2" w:rsidRPr="00AE525F">
        <w:rPr>
          <w:rFonts w:ascii="Times New Roman" w:hAnsi="Times New Roman" w:cs="Times New Roman"/>
          <w:sz w:val="28"/>
          <w:szCs w:val="28"/>
          <w:lang w:val="uk-UA"/>
        </w:rPr>
        <w:t>3</w:t>
      </w:r>
      <w:r w:rsidRPr="00AE525F">
        <w:rPr>
          <w:rFonts w:ascii="Times New Roman" w:hAnsi="Times New Roman" w:cs="Times New Roman"/>
          <w:sz w:val="28"/>
          <w:szCs w:val="28"/>
          <w:lang w:val="uk-UA"/>
        </w:rPr>
        <w:t>,</w:t>
      </w:r>
      <w:r w:rsidR="001B14D2" w:rsidRPr="00AE525F">
        <w:rPr>
          <w:rFonts w:ascii="Times New Roman" w:hAnsi="Times New Roman" w:cs="Times New Roman"/>
          <w:sz w:val="28"/>
          <w:szCs w:val="28"/>
          <w:lang w:val="uk-UA"/>
        </w:rPr>
        <w:t>15</w:t>
      </w:r>
      <w:r w:rsidRPr="00AE525F">
        <w:rPr>
          <w:rFonts w:ascii="Times New Roman" w:hAnsi="Times New Roman" w:cs="Times New Roman"/>
          <w:sz w:val="28"/>
          <w:szCs w:val="28"/>
          <w:lang w:val="uk-UA"/>
        </w:rPr>
        <w:t xml:space="preserve"> млрд</w:t>
      </w:r>
      <w:r w:rsidR="00EF70C6"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xml:space="preserve">грн, або на </w:t>
      </w:r>
      <w:r w:rsidR="00657CD4" w:rsidRPr="00AE525F">
        <w:rPr>
          <w:rFonts w:ascii="Times New Roman" w:hAnsi="Times New Roman" w:cs="Times New Roman"/>
          <w:sz w:val="28"/>
          <w:szCs w:val="28"/>
          <w:lang w:val="uk-UA"/>
        </w:rPr>
        <w:t>12,99</w:t>
      </w:r>
      <w:r w:rsidRPr="00AE525F">
        <w:rPr>
          <w:rFonts w:ascii="Times New Roman" w:hAnsi="Times New Roman" w:cs="Times New Roman"/>
          <w:sz w:val="28"/>
          <w:szCs w:val="28"/>
          <w:lang w:val="uk-UA"/>
        </w:rPr>
        <w:t xml:space="preserve"> млрд</w:t>
      </w:r>
      <w:r w:rsidR="00EF70C6"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xml:space="preserve">грн, що становить </w:t>
      </w:r>
      <w:r w:rsidR="00657CD4" w:rsidRPr="00AE525F">
        <w:rPr>
          <w:rFonts w:ascii="Times New Roman" w:hAnsi="Times New Roman" w:cs="Times New Roman"/>
          <w:sz w:val="28"/>
          <w:szCs w:val="28"/>
          <w:lang w:val="uk-UA"/>
        </w:rPr>
        <w:t>822,2</w:t>
      </w:r>
      <w:r w:rsidR="00F12C20"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Його питома вага у структурі доходів місцевих бюджетів у 201</w:t>
      </w:r>
      <w:r w:rsidR="00657CD4" w:rsidRPr="00AE525F">
        <w:rPr>
          <w:rFonts w:ascii="Times New Roman" w:hAnsi="Times New Roman" w:cs="Times New Roman"/>
          <w:sz w:val="28"/>
          <w:szCs w:val="28"/>
          <w:lang w:val="uk-UA"/>
        </w:rPr>
        <w:t>7</w:t>
      </w:r>
      <w:r w:rsidRPr="00AE525F">
        <w:rPr>
          <w:rFonts w:ascii="Times New Roman" w:hAnsi="Times New Roman" w:cs="Times New Roman"/>
          <w:sz w:val="28"/>
          <w:szCs w:val="28"/>
          <w:lang w:val="uk-UA"/>
        </w:rPr>
        <w:t xml:space="preserve"> р. становить </w:t>
      </w:r>
      <w:r w:rsidR="00657CD4" w:rsidRPr="00AE525F">
        <w:rPr>
          <w:rFonts w:ascii="Times New Roman" w:hAnsi="Times New Roman" w:cs="Times New Roman"/>
          <w:sz w:val="28"/>
          <w:szCs w:val="28"/>
          <w:lang w:val="uk-UA"/>
        </w:rPr>
        <w:t>2,62</w:t>
      </w:r>
      <w:r w:rsidR="00F12C20"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Значне зростання даного виду платежу обумовлено зростанням ставок податку на підакцизні товари, а також запровадженням 5</w:t>
      </w:r>
      <w:r w:rsidR="00F12C20"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надбавки на підакцизні товари, яка відповідно до чинного законодавства наповнює місцеві бюджети.</w:t>
      </w:r>
      <w:r w:rsidR="00657CD4" w:rsidRPr="00AE525F">
        <w:rPr>
          <w:rFonts w:ascii="Times New Roman" w:hAnsi="Times New Roman" w:cs="Times New Roman"/>
          <w:sz w:val="28"/>
          <w:szCs w:val="28"/>
          <w:lang w:val="uk-UA"/>
        </w:rPr>
        <w:t xml:space="preserve"> Окрім того, у 2017 р. до місцевих бюджетів надходить акцизний податок з пального, виробленого в Україні, та пального, ввезеного на територію України. Так, обсяги мобілізації акцизного податку з виробленого в Украї</w:t>
      </w:r>
      <w:r w:rsidR="00F12C20" w:rsidRPr="00AE525F">
        <w:rPr>
          <w:rFonts w:ascii="Times New Roman" w:hAnsi="Times New Roman" w:cs="Times New Roman"/>
          <w:sz w:val="28"/>
          <w:szCs w:val="28"/>
          <w:lang w:val="uk-UA"/>
        </w:rPr>
        <w:t>ні пального становили 1,47 млрд грн</w:t>
      </w:r>
      <w:r w:rsidR="00657CD4" w:rsidRPr="00AE525F">
        <w:rPr>
          <w:rFonts w:ascii="Times New Roman" w:hAnsi="Times New Roman" w:cs="Times New Roman"/>
          <w:sz w:val="28"/>
          <w:szCs w:val="28"/>
          <w:lang w:val="uk-UA"/>
        </w:rPr>
        <w:t>, а з пального – ввезеного на територію України – 5,68 млрд</w:t>
      </w:r>
      <w:r w:rsidR="00F12C20" w:rsidRPr="00AE525F">
        <w:rPr>
          <w:rFonts w:ascii="Times New Roman" w:hAnsi="Times New Roman" w:cs="Times New Roman"/>
          <w:sz w:val="28"/>
          <w:szCs w:val="28"/>
          <w:lang w:val="uk-UA"/>
        </w:rPr>
        <w:t> </w:t>
      </w:r>
      <w:r w:rsidR="00657CD4" w:rsidRPr="00AE525F">
        <w:rPr>
          <w:rFonts w:ascii="Times New Roman" w:hAnsi="Times New Roman" w:cs="Times New Roman"/>
          <w:sz w:val="28"/>
          <w:szCs w:val="28"/>
          <w:lang w:val="uk-UA"/>
        </w:rPr>
        <w:t>грн.</w:t>
      </w:r>
    </w:p>
    <w:p w:rsidR="00BB2431" w:rsidRPr="00AE525F" w:rsidRDefault="00BB2431" w:rsidP="00BB2431">
      <w:pPr>
        <w:spacing w:after="0" w:line="360" w:lineRule="auto"/>
        <w:ind w:firstLine="708"/>
        <w:jc w:val="both"/>
        <w:rPr>
          <w:rFonts w:ascii="Times New Roman" w:hAnsi="Times New Roman" w:cs="Times New Roman"/>
          <w:sz w:val="28"/>
          <w:szCs w:val="28"/>
          <w:lang w:val="uk-UA"/>
        </w:rPr>
      </w:pPr>
      <w:r w:rsidRPr="00AE525F">
        <w:rPr>
          <w:rFonts w:ascii="Times New Roman" w:hAnsi="Times New Roman" w:cs="Times New Roman"/>
          <w:sz w:val="28"/>
          <w:szCs w:val="28"/>
          <w:lang w:val="uk-UA"/>
        </w:rPr>
        <w:t>За аналізований період 2014-201</w:t>
      </w:r>
      <w:r w:rsidR="00657CD4" w:rsidRPr="00AE525F">
        <w:rPr>
          <w:rFonts w:ascii="Times New Roman" w:hAnsi="Times New Roman" w:cs="Times New Roman"/>
          <w:sz w:val="28"/>
          <w:szCs w:val="28"/>
          <w:lang w:val="uk-UA"/>
        </w:rPr>
        <w:t>7</w:t>
      </w:r>
      <w:r w:rsidRPr="00AE525F">
        <w:rPr>
          <w:rFonts w:ascii="Times New Roman" w:hAnsi="Times New Roman" w:cs="Times New Roman"/>
          <w:sz w:val="28"/>
          <w:szCs w:val="28"/>
          <w:lang w:val="uk-UA"/>
        </w:rPr>
        <w:t xml:space="preserve"> рр. найбільший відсотковий приріст серед загальнодержавних податків і зборів до місцевих бюджетів забезпечив екологічний податок – 2</w:t>
      </w:r>
      <w:r w:rsidR="00657CD4" w:rsidRPr="00AE525F">
        <w:rPr>
          <w:rFonts w:ascii="Times New Roman" w:hAnsi="Times New Roman" w:cs="Times New Roman"/>
          <w:sz w:val="28"/>
          <w:szCs w:val="28"/>
          <w:lang w:val="uk-UA"/>
        </w:rPr>
        <w:t>44</w:t>
      </w:r>
      <w:r w:rsidRPr="00AE525F">
        <w:rPr>
          <w:rFonts w:ascii="Times New Roman" w:hAnsi="Times New Roman" w:cs="Times New Roman"/>
          <w:sz w:val="28"/>
          <w:szCs w:val="28"/>
          <w:lang w:val="uk-UA"/>
        </w:rPr>
        <w:t>,2</w:t>
      </w:r>
      <w:r w:rsidR="00F12C20"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Динаміка абсолютних показників цього платежу також вказує на зростання з 1,22 млрд</w:t>
      </w:r>
      <w:r w:rsidR="00F12C20"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xml:space="preserve">грн до </w:t>
      </w:r>
      <w:r w:rsidR="00657CD4" w:rsidRPr="00AE525F">
        <w:rPr>
          <w:rFonts w:ascii="Times New Roman" w:hAnsi="Times New Roman" w:cs="Times New Roman"/>
          <w:sz w:val="28"/>
          <w:szCs w:val="28"/>
          <w:lang w:val="uk-UA"/>
        </w:rPr>
        <w:t>2,98</w:t>
      </w:r>
      <w:r w:rsidRPr="00AE525F">
        <w:rPr>
          <w:rFonts w:ascii="Times New Roman" w:hAnsi="Times New Roman" w:cs="Times New Roman"/>
          <w:sz w:val="28"/>
          <w:szCs w:val="28"/>
          <w:lang w:val="uk-UA"/>
        </w:rPr>
        <w:t xml:space="preserve"> млрд</w:t>
      </w:r>
      <w:r w:rsidR="00F12C20"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xml:space="preserve">грн, зростання становило </w:t>
      </w:r>
      <w:r w:rsidR="00657CD4" w:rsidRPr="00AE525F">
        <w:rPr>
          <w:rFonts w:ascii="Times New Roman" w:hAnsi="Times New Roman" w:cs="Times New Roman"/>
          <w:sz w:val="28"/>
          <w:szCs w:val="28"/>
          <w:lang w:val="uk-UA"/>
        </w:rPr>
        <w:t>1,76</w:t>
      </w:r>
      <w:r w:rsidRPr="00AE525F">
        <w:rPr>
          <w:rFonts w:ascii="Times New Roman" w:hAnsi="Times New Roman" w:cs="Times New Roman"/>
          <w:sz w:val="28"/>
          <w:szCs w:val="28"/>
          <w:lang w:val="uk-UA"/>
        </w:rPr>
        <w:t xml:space="preserve"> млрд</w:t>
      </w:r>
      <w:r w:rsidR="00F12C20"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грн. Його частка у структурі доходів місцевих бюджетів є незначною і складає 0,92</w:t>
      </w:r>
      <w:r w:rsidR="00F12C20"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w:t>
      </w:r>
    </w:p>
    <w:p w:rsidR="00BB2431" w:rsidRPr="00AE525F" w:rsidRDefault="00BB2431" w:rsidP="00F12C20">
      <w:pPr>
        <w:spacing w:after="0" w:line="360" w:lineRule="auto"/>
        <w:ind w:firstLine="567"/>
        <w:jc w:val="both"/>
        <w:rPr>
          <w:rFonts w:ascii="Times New Roman" w:hAnsi="Times New Roman" w:cs="Times New Roman"/>
          <w:sz w:val="28"/>
          <w:szCs w:val="28"/>
          <w:lang w:val="uk-UA"/>
        </w:rPr>
      </w:pPr>
      <w:r w:rsidRPr="00AE525F">
        <w:rPr>
          <w:rFonts w:ascii="Times New Roman" w:hAnsi="Times New Roman" w:cs="Times New Roman"/>
          <w:sz w:val="28"/>
          <w:szCs w:val="28"/>
          <w:lang w:val="uk-UA"/>
        </w:rPr>
        <w:lastRenderedPageBreak/>
        <w:t>У період 2014-201</w:t>
      </w:r>
      <w:r w:rsidR="00657CD4" w:rsidRPr="00AE525F">
        <w:rPr>
          <w:rFonts w:ascii="Times New Roman" w:hAnsi="Times New Roman" w:cs="Times New Roman"/>
          <w:sz w:val="28"/>
          <w:szCs w:val="28"/>
          <w:lang w:val="uk-UA"/>
        </w:rPr>
        <w:t>7</w:t>
      </w:r>
      <w:r w:rsidRPr="00AE525F">
        <w:rPr>
          <w:rFonts w:ascii="Times New Roman" w:hAnsi="Times New Roman" w:cs="Times New Roman"/>
          <w:sz w:val="28"/>
          <w:szCs w:val="28"/>
          <w:lang w:val="uk-UA"/>
        </w:rPr>
        <w:t xml:space="preserve"> рр. надходження рентної плати до дохідної частини місцевих бюджетів суттєво відрізняється. Так, у 2014 р. дані платежі входили до групи зборів за спеціальне використання природних ресурсів. Обсяг їх надходжень становив 14560,5 млн</w:t>
      </w:r>
      <w:r w:rsidR="00F12C20"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грн. З 2015 р. дана група податкових надходжень іменується як рентна плата за спеціальне використання природних ресурсів. Абсолютні значення рентної плати</w:t>
      </w:r>
      <w:r w:rsidR="00F12C20" w:rsidRPr="00AE525F">
        <w:rPr>
          <w:rFonts w:ascii="Times New Roman" w:hAnsi="Times New Roman" w:cs="Times New Roman"/>
          <w:sz w:val="28"/>
          <w:szCs w:val="28"/>
          <w:lang w:val="uk-UA"/>
        </w:rPr>
        <w:t xml:space="preserve"> у 2015 р. становили 2154,3 млн </w:t>
      </w:r>
      <w:r w:rsidRPr="00AE525F">
        <w:rPr>
          <w:rFonts w:ascii="Times New Roman" w:hAnsi="Times New Roman" w:cs="Times New Roman"/>
          <w:sz w:val="28"/>
          <w:szCs w:val="28"/>
          <w:lang w:val="uk-UA"/>
        </w:rPr>
        <w:t>грн, що менше ніж у поперед</w:t>
      </w:r>
      <w:r w:rsidR="00F12C20" w:rsidRPr="00AE525F">
        <w:rPr>
          <w:rFonts w:ascii="Times New Roman" w:hAnsi="Times New Roman" w:cs="Times New Roman"/>
          <w:sz w:val="28"/>
          <w:szCs w:val="28"/>
          <w:lang w:val="uk-UA"/>
        </w:rPr>
        <w:t>ньому році на 12406,2 млн </w:t>
      </w:r>
      <w:r w:rsidR="00657CD4" w:rsidRPr="00AE525F">
        <w:rPr>
          <w:rFonts w:ascii="Times New Roman" w:hAnsi="Times New Roman" w:cs="Times New Roman"/>
          <w:sz w:val="28"/>
          <w:szCs w:val="28"/>
          <w:lang w:val="uk-UA"/>
        </w:rPr>
        <w:t>грн.</w:t>
      </w:r>
      <w:r w:rsidRPr="00AE525F">
        <w:rPr>
          <w:rFonts w:ascii="Times New Roman" w:hAnsi="Times New Roman" w:cs="Times New Roman"/>
          <w:sz w:val="28"/>
          <w:szCs w:val="28"/>
          <w:lang w:val="uk-UA"/>
        </w:rPr>
        <w:t xml:space="preserve"> </w:t>
      </w:r>
      <w:r w:rsidR="00657CD4" w:rsidRPr="00AE525F">
        <w:rPr>
          <w:rFonts w:ascii="Times New Roman" w:hAnsi="Times New Roman" w:cs="Times New Roman"/>
          <w:sz w:val="28"/>
          <w:szCs w:val="28"/>
          <w:lang w:val="uk-UA"/>
        </w:rPr>
        <w:t>Зазначене</w:t>
      </w:r>
      <w:r w:rsidRPr="00AE525F">
        <w:rPr>
          <w:rFonts w:ascii="Times New Roman" w:hAnsi="Times New Roman" w:cs="Times New Roman"/>
          <w:sz w:val="28"/>
          <w:szCs w:val="28"/>
          <w:lang w:val="uk-UA"/>
        </w:rPr>
        <w:t xml:space="preserve"> обумовлено перенесенням плати за землю до складу місцевих податків на майно. Так, у 2014 р. у складі зборів за спеціальне використання природних ресурсів рентна плата становила 83</w:t>
      </w:r>
      <w:r w:rsidR="00F12C20"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xml:space="preserve">%. </w:t>
      </w:r>
    </w:p>
    <w:p w:rsidR="00BB2431" w:rsidRPr="00AE525F" w:rsidRDefault="00BB2431" w:rsidP="00BB2431">
      <w:pPr>
        <w:spacing w:after="0" w:line="360" w:lineRule="auto"/>
        <w:ind w:firstLine="708"/>
        <w:jc w:val="both"/>
        <w:rPr>
          <w:rFonts w:ascii="Times New Roman" w:hAnsi="Times New Roman" w:cs="Times New Roman"/>
          <w:sz w:val="28"/>
          <w:szCs w:val="28"/>
          <w:lang w:val="uk-UA"/>
        </w:rPr>
      </w:pPr>
      <w:r w:rsidRPr="00AE525F">
        <w:rPr>
          <w:rFonts w:ascii="Times New Roman" w:hAnsi="Times New Roman" w:cs="Times New Roman"/>
          <w:sz w:val="28"/>
          <w:szCs w:val="28"/>
          <w:lang w:val="uk-UA"/>
        </w:rPr>
        <w:t>У структурі рентних платежів до місцевих бюджетів України більше 40 % становить рентна плата за користування надрами. Динаміка абсолютних значень цих платежів у аналізований період скоротилася на 339,7 млн</w:t>
      </w:r>
      <w:r w:rsidR="00FF5B1F"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грн (з 1421,3 мл</w:t>
      </w:r>
      <w:r w:rsidR="00FF5B1F" w:rsidRPr="00AE525F">
        <w:rPr>
          <w:rFonts w:ascii="Times New Roman" w:hAnsi="Times New Roman" w:cs="Times New Roman"/>
          <w:sz w:val="28"/>
          <w:szCs w:val="28"/>
          <w:lang w:val="uk-UA"/>
        </w:rPr>
        <w:t>н грн у 2014 р. до 1081,6 млн </w:t>
      </w:r>
      <w:r w:rsidRPr="00AE525F">
        <w:rPr>
          <w:rFonts w:ascii="Times New Roman" w:hAnsi="Times New Roman" w:cs="Times New Roman"/>
          <w:sz w:val="28"/>
          <w:szCs w:val="28"/>
          <w:lang w:val="uk-UA"/>
        </w:rPr>
        <w:t>грн у 201</w:t>
      </w:r>
      <w:r w:rsidR="00657CD4" w:rsidRPr="00AE525F">
        <w:rPr>
          <w:rFonts w:ascii="Times New Roman" w:hAnsi="Times New Roman" w:cs="Times New Roman"/>
          <w:sz w:val="28"/>
          <w:szCs w:val="28"/>
          <w:lang w:val="uk-UA"/>
        </w:rPr>
        <w:t>7</w:t>
      </w:r>
      <w:r w:rsidRPr="00AE525F">
        <w:rPr>
          <w:rFonts w:ascii="Times New Roman" w:hAnsi="Times New Roman" w:cs="Times New Roman"/>
          <w:sz w:val="28"/>
          <w:szCs w:val="28"/>
          <w:lang w:val="uk-UA"/>
        </w:rPr>
        <w:t xml:space="preserve"> р.). Питома вага рентної плати за користування надрами у 201</w:t>
      </w:r>
      <w:r w:rsidR="00657CD4" w:rsidRPr="00AE525F">
        <w:rPr>
          <w:rFonts w:ascii="Times New Roman" w:hAnsi="Times New Roman" w:cs="Times New Roman"/>
          <w:sz w:val="28"/>
          <w:szCs w:val="28"/>
          <w:lang w:val="uk-UA"/>
        </w:rPr>
        <w:t>7</w:t>
      </w:r>
      <w:r w:rsidRPr="00AE525F">
        <w:rPr>
          <w:rFonts w:ascii="Times New Roman" w:hAnsi="Times New Roman" w:cs="Times New Roman"/>
          <w:sz w:val="28"/>
          <w:szCs w:val="28"/>
          <w:lang w:val="uk-UA"/>
        </w:rPr>
        <w:t xml:space="preserve"> р. у структурі усіх рентних платежів займає 42,98</w:t>
      </w:r>
      <w:r w:rsidR="00911EA8"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w:t>
      </w:r>
    </w:p>
    <w:p w:rsidR="00BB2431" w:rsidRPr="00AE525F" w:rsidRDefault="00BB2431" w:rsidP="00657CD4">
      <w:pPr>
        <w:spacing w:after="0" w:line="360" w:lineRule="auto"/>
        <w:ind w:firstLine="708"/>
        <w:jc w:val="both"/>
        <w:rPr>
          <w:rFonts w:ascii="Times New Roman" w:hAnsi="Times New Roman" w:cs="Times New Roman"/>
          <w:sz w:val="28"/>
          <w:szCs w:val="28"/>
          <w:lang w:val="uk-UA"/>
        </w:rPr>
      </w:pPr>
      <w:r w:rsidRPr="00AE525F">
        <w:rPr>
          <w:rFonts w:ascii="Times New Roman" w:hAnsi="Times New Roman" w:cs="Times New Roman"/>
          <w:sz w:val="28"/>
          <w:szCs w:val="28"/>
          <w:lang w:val="uk-UA"/>
        </w:rPr>
        <w:t>Близькими за значеннями є рентна плата за спеціальне використання лісових ресурсів та води, їх частка становить 29,05</w:t>
      </w:r>
      <w:r w:rsidR="00911EA8"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та 27,77</w:t>
      </w:r>
      <w:r w:rsidR="00911EA8"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відповідно у 201</w:t>
      </w:r>
      <w:r w:rsidR="00657CD4" w:rsidRPr="00AE525F">
        <w:rPr>
          <w:rFonts w:ascii="Times New Roman" w:hAnsi="Times New Roman" w:cs="Times New Roman"/>
          <w:sz w:val="28"/>
          <w:szCs w:val="28"/>
          <w:lang w:val="uk-UA"/>
        </w:rPr>
        <w:t>7</w:t>
      </w:r>
      <w:r w:rsidRPr="00AE525F">
        <w:rPr>
          <w:rFonts w:ascii="Times New Roman" w:hAnsi="Times New Roman" w:cs="Times New Roman"/>
          <w:sz w:val="28"/>
          <w:szCs w:val="28"/>
          <w:lang w:val="uk-UA"/>
        </w:rPr>
        <w:t xml:space="preserve"> р. Динаміка абсолютних значень надходження рентної плати за спеціальне використання лісових ресурсів вказує на зростання на 313,7 млн</w:t>
      </w:r>
      <w:r w:rsidR="00911EA8"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грн (з 417,4 млн</w:t>
      </w:r>
      <w:r w:rsidR="00FF5B1F"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грн до 731,1 млн</w:t>
      </w:r>
      <w:r w:rsidR="00FF5B1F"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грн). Динаміка надходження рентної плати за спеціальне використання води також зросла з 634,5 млн</w:t>
      </w:r>
      <w:r w:rsidR="00FF5B1F"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грн до 698,9 млн</w:t>
      </w:r>
      <w:r w:rsidR="00FF5B1F" w:rsidRPr="00AE525F">
        <w:rPr>
          <w:rFonts w:ascii="Times New Roman" w:hAnsi="Times New Roman" w:cs="Times New Roman"/>
          <w:sz w:val="28"/>
          <w:szCs w:val="28"/>
          <w:lang w:val="uk-UA"/>
        </w:rPr>
        <w:t> грн</w:t>
      </w:r>
      <w:r w:rsidRPr="00AE525F">
        <w:rPr>
          <w:rFonts w:ascii="Times New Roman" w:hAnsi="Times New Roman" w:cs="Times New Roman"/>
          <w:sz w:val="28"/>
          <w:szCs w:val="28"/>
          <w:lang w:val="uk-UA"/>
        </w:rPr>
        <w:t xml:space="preserve"> або на 64,4 млн</w:t>
      </w:r>
      <w:r w:rsidR="00FF5B1F"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грн.</w:t>
      </w:r>
      <w:r w:rsidR="00657CD4" w:rsidRPr="00AE525F">
        <w:rPr>
          <w:rFonts w:ascii="Times New Roman" w:hAnsi="Times New Roman" w:cs="Times New Roman"/>
          <w:sz w:val="28"/>
          <w:szCs w:val="28"/>
          <w:lang w:val="uk-UA"/>
        </w:rPr>
        <w:t xml:space="preserve"> </w:t>
      </w:r>
      <w:r w:rsidRPr="00AE525F">
        <w:rPr>
          <w:rFonts w:ascii="Times New Roman" w:hAnsi="Times New Roman" w:cs="Times New Roman"/>
          <w:sz w:val="28"/>
          <w:szCs w:val="28"/>
          <w:lang w:val="uk-UA"/>
        </w:rPr>
        <w:t>Незначними є обсяги надходження плати за використання інших природних ресурсів – 3,4 млн</w:t>
      </w:r>
      <w:r w:rsidR="00FF5B1F" w:rsidRPr="00AE525F">
        <w:rPr>
          <w:rFonts w:ascii="Times New Roman" w:hAnsi="Times New Roman" w:cs="Times New Roman"/>
          <w:sz w:val="28"/>
          <w:szCs w:val="28"/>
          <w:lang w:val="uk-UA"/>
        </w:rPr>
        <w:t> грн</w:t>
      </w:r>
      <w:r w:rsidRPr="00AE525F">
        <w:rPr>
          <w:rFonts w:ascii="Times New Roman" w:hAnsi="Times New Roman" w:cs="Times New Roman"/>
          <w:sz w:val="28"/>
          <w:szCs w:val="28"/>
          <w:lang w:val="uk-UA"/>
        </w:rPr>
        <w:t xml:space="preserve"> – 4,4 млн</w:t>
      </w:r>
      <w:r w:rsidR="00FF5B1F"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грн або 0,17</w:t>
      </w:r>
      <w:r w:rsidR="00FF5B1F"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 усіх рентних платежів.</w:t>
      </w:r>
    </w:p>
    <w:p w:rsidR="00C21BEB" w:rsidRPr="00AE525F" w:rsidRDefault="00BB2431" w:rsidP="00A53901">
      <w:pPr>
        <w:spacing w:after="0" w:line="360" w:lineRule="auto"/>
        <w:ind w:firstLine="708"/>
        <w:jc w:val="both"/>
        <w:rPr>
          <w:rFonts w:ascii="Times New Roman" w:hAnsi="Times New Roman" w:cs="Times New Roman"/>
          <w:sz w:val="28"/>
          <w:szCs w:val="28"/>
          <w:lang w:val="uk-UA"/>
        </w:rPr>
      </w:pPr>
      <w:r w:rsidRPr="00AE525F">
        <w:rPr>
          <w:rFonts w:ascii="Times New Roman" w:hAnsi="Times New Roman" w:cs="Times New Roman"/>
          <w:sz w:val="28"/>
          <w:szCs w:val="28"/>
          <w:lang w:val="uk-UA"/>
        </w:rPr>
        <w:t>Таким чином, надходження загальнодержавних податків і зборів до місцевих бюджетів вказують на їх переважаючу частку у структурі податкових надходжень усіх рівнів місцевих бюджетів.</w:t>
      </w:r>
      <w:r w:rsidR="00A53901" w:rsidRPr="00AE525F">
        <w:rPr>
          <w:rFonts w:ascii="Times New Roman" w:hAnsi="Times New Roman" w:cs="Times New Roman"/>
          <w:sz w:val="28"/>
          <w:szCs w:val="28"/>
          <w:lang w:val="uk-UA"/>
        </w:rPr>
        <w:t xml:space="preserve"> </w:t>
      </w:r>
      <w:r w:rsidR="00C21BEB" w:rsidRPr="00AE525F">
        <w:rPr>
          <w:rFonts w:ascii="Times New Roman" w:hAnsi="Times New Roman"/>
          <w:sz w:val="28"/>
          <w:szCs w:val="28"/>
          <w:lang w:val="uk-UA"/>
        </w:rPr>
        <w:t>На нашу думку, для зміцнення доходів місцевих бюджетів</w:t>
      </w:r>
      <w:r w:rsidR="00FF5B1F" w:rsidRPr="00AE525F">
        <w:rPr>
          <w:rFonts w:ascii="Times New Roman" w:hAnsi="Times New Roman"/>
          <w:sz w:val="28"/>
          <w:szCs w:val="28"/>
          <w:lang w:val="uk-UA"/>
        </w:rPr>
        <w:t xml:space="preserve"> </w:t>
      </w:r>
      <w:r w:rsidR="00C21BEB" w:rsidRPr="00AE525F">
        <w:rPr>
          <w:rFonts w:ascii="Times New Roman" w:hAnsi="Times New Roman"/>
          <w:bCs/>
          <w:sz w:val="28"/>
          <w:szCs w:val="28"/>
          <w:bdr w:val="none" w:sz="0" w:space="0" w:color="auto" w:frame="1"/>
          <w:lang w:val="uk-UA"/>
        </w:rPr>
        <w:t xml:space="preserve">доцільно переглянути перелік загальнодержавних податків, встановити </w:t>
      </w:r>
      <w:r w:rsidR="00657CD4" w:rsidRPr="00AE525F">
        <w:rPr>
          <w:rFonts w:ascii="Times New Roman" w:hAnsi="Times New Roman"/>
          <w:bCs/>
          <w:sz w:val="28"/>
          <w:szCs w:val="28"/>
          <w:bdr w:val="none" w:sz="0" w:space="0" w:color="auto" w:frame="1"/>
          <w:lang w:val="uk-UA"/>
        </w:rPr>
        <w:t xml:space="preserve">пропорції </w:t>
      </w:r>
      <w:r w:rsidR="00C21BEB" w:rsidRPr="00AE525F">
        <w:rPr>
          <w:rFonts w:ascii="Times New Roman" w:hAnsi="Times New Roman"/>
          <w:bCs/>
          <w:sz w:val="28"/>
          <w:szCs w:val="28"/>
          <w:bdr w:val="none" w:sz="0" w:space="0" w:color="auto" w:frame="1"/>
          <w:lang w:val="uk-UA"/>
        </w:rPr>
        <w:t xml:space="preserve">їх </w:t>
      </w:r>
      <w:r w:rsidR="00657CD4" w:rsidRPr="00AE525F">
        <w:rPr>
          <w:rFonts w:ascii="Times New Roman" w:hAnsi="Times New Roman"/>
          <w:bCs/>
          <w:sz w:val="28"/>
          <w:szCs w:val="28"/>
          <w:bdr w:val="none" w:sz="0" w:space="0" w:color="auto" w:frame="1"/>
          <w:lang w:val="uk-UA"/>
        </w:rPr>
        <w:t>розщеплення між державним</w:t>
      </w:r>
      <w:r w:rsidR="00C21BEB" w:rsidRPr="00AE525F">
        <w:rPr>
          <w:rFonts w:ascii="Times New Roman" w:hAnsi="Times New Roman"/>
          <w:bCs/>
          <w:sz w:val="28"/>
          <w:szCs w:val="28"/>
          <w:bdr w:val="none" w:sz="0" w:space="0" w:color="auto" w:frame="1"/>
          <w:lang w:val="uk-UA"/>
        </w:rPr>
        <w:t xml:space="preserve"> та місцевими </w:t>
      </w:r>
      <w:r w:rsidR="00C21BEB" w:rsidRPr="00AE525F">
        <w:rPr>
          <w:rFonts w:ascii="Times New Roman" w:hAnsi="Times New Roman"/>
          <w:bCs/>
          <w:sz w:val="28"/>
          <w:szCs w:val="28"/>
          <w:bdr w:val="none" w:sz="0" w:space="0" w:color="auto" w:frame="1"/>
          <w:lang w:val="uk-UA"/>
        </w:rPr>
        <w:lastRenderedPageBreak/>
        <w:t>бюджетами.</w:t>
      </w:r>
      <w:r w:rsidR="00FF5B1F" w:rsidRPr="00AE525F">
        <w:rPr>
          <w:rFonts w:ascii="Times New Roman" w:hAnsi="Times New Roman"/>
          <w:sz w:val="28"/>
          <w:szCs w:val="28"/>
          <w:lang w:val="uk-UA"/>
        </w:rPr>
        <w:t xml:space="preserve"> </w:t>
      </w:r>
      <w:r w:rsidR="00C21BEB" w:rsidRPr="00AE525F">
        <w:rPr>
          <w:rFonts w:ascii="Times New Roman" w:hAnsi="Times New Roman"/>
          <w:sz w:val="28"/>
          <w:szCs w:val="28"/>
          <w:lang w:val="uk-UA"/>
        </w:rPr>
        <w:t>За необхідне вважаємо</w:t>
      </w:r>
      <w:r w:rsidR="00FF5B1F" w:rsidRPr="00AE525F">
        <w:rPr>
          <w:rFonts w:ascii="Times New Roman" w:hAnsi="Times New Roman"/>
          <w:bCs/>
          <w:sz w:val="28"/>
          <w:szCs w:val="28"/>
          <w:lang w:val="uk-UA"/>
        </w:rPr>
        <w:t xml:space="preserve"> </w:t>
      </w:r>
      <w:r w:rsidR="00C21BEB" w:rsidRPr="00AE525F">
        <w:rPr>
          <w:rFonts w:ascii="Times New Roman" w:hAnsi="Times New Roman"/>
          <w:bCs/>
          <w:sz w:val="28"/>
          <w:szCs w:val="28"/>
          <w:bdr w:val="none" w:sz="0" w:space="0" w:color="auto" w:frame="1"/>
          <w:lang w:val="uk-UA"/>
        </w:rPr>
        <w:t>частково закріпити за місцевими б</w:t>
      </w:r>
      <w:r w:rsidR="00657CD4" w:rsidRPr="00AE525F">
        <w:rPr>
          <w:rFonts w:ascii="Times New Roman" w:hAnsi="Times New Roman"/>
          <w:bCs/>
          <w:sz w:val="28"/>
          <w:szCs w:val="28"/>
          <w:bdr w:val="none" w:sz="0" w:space="0" w:color="auto" w:frame="1"/>
          <w:lang w:val="uk-UA"/>
        </w:rPr>
        <w:t>юджетами</w:t>
      </w:r>
      <w:r w:rsidR="00294DEB" w:rsidRPr="00AE525F">
        <w:rPr>
          <w:rFonts w:ascii="Times New Roman" w:hAnsi="Times New Roman"/>
          <w:bCs/>
          <w:sz w:val="28"/>
          <w:szCs w:val="28"/>
          <w:bdr w:val="none" w:sz="0" w:space="0" w:color="auto" w:frame="1"/>
          <w:lang w:val="uk-UA"/>
        </w:rPr>
        <w:t xml:space="preserve"> не лише</w:t>
      </w:r>
      <w:r w:rsidR="00657CD4" w:rsidRPr="00AE525F">
        <w:rPr>
          <w:rFonts w:ascii="Times New Roman" w:hAnsi="Times New Roman"/>
          <w:bCs/>
          <w:sz w:val="28"/>
          <w:szCs w:val="28"/>
          <w:bdr w:val="none" w:sz="0" w:space="0" w:color="auto" w:frame="1"/>
          <w:lang w:val="uk-UA"/>
        </w:rPr>
        <w:t xml:space="preserve"> податок на прибуток</w:t>
      </w:r>
      <w:r w:rsidR="00294DEB" w:rsidRPr="00AE525F">
        <w:rPr>
          <w:rFonts w:ascii="Times New Roman" w:hAnsi="Times New Roman"/>
          <w:bCs/>
          <w:sz w:val="28"/>
          <w:szCs w:val="28"/>
          <w:bdr w:val="none" w:sz="0" w:space="0" w:color="auto" w:frame="1"/>
          <w:lang w:val="uk-UA"/>
        </w:rPr>
        <w:t xml:space="preserve"> підприємств, а також</w:t>
      </w:r>
      <w:r w:rsidR="00133CDE" w:rsidRPr="00AE525F">
        <w:rPr>
          <w:rFonts w:ascii="Times New Roman" w:hAnsi="Times New Roman"/>
          <w:bCs/>
          <w:sz w:val="28"/>
          <w:szCs w:val="28"/>
          <w:bdr w:val="none" w:sz="0" w:space="0" w:color="auto" w:frame="1"/>
          <w:lang w:val="uk-UA"/>
        </w:rPr>
        <w:t xml:space="preserve"> і</w:t>
      </w:r>
      <w:r w:rsidR="00657CD4" w:rsidRPr="00AE525F">
        <w:rPr>
          <w:rFonts w:ascii="Times New Roman" w:hAnsi="Times New Roman"/>
          <w:bCs/>
          <w:sz w:val="28"/>
          <w:szCs w:val="28"/>
          <w:bdr w:val="none" w:sz="0" w:space="0" w:color="auto" w:frame="1"/>
          <w:lang w:val="uk-UA"/>
        </w:rPr>
        <w:t xml:space="preserve"> </w:t>
      </w:r>
      <w:r w:rsidR="00C21BEB" w:rsidRPr="00AE525F">
        <w:rPr>
          <w:rFonts w:ascii="Times New Roman" w:hAnsi="Times New Roman"/>
          <w:bCs/>
          <w:sz w:val="28"/>
          <w:szCs w:val="28"/>
          <w:bdr w:val="none" w:sz="0" w:space="0" w:color="auto" w:frame="1"/>
          <w:lang w:val="uk-UA"/>
        </w:rPr>
        <w:t>ПДВ.</w:t>
      </w:r>
      <w:r w:rsidR="00FF5B1F" w:rsidRPr="00AE525F">
        <w:rPr>
          <w:rFonts w:ascii="Times New Roman" w:hAnsi="Times New Roman"/>
          <w:bCs/>
          <w:sz w:val="28"/>
          <w:szCs w:val="28"/>
          <w:lang w:val="uk-UA"/>
        </w:rPr>
        <w:t xml:space="preserve"> </w:t>
      </w:r>
      <w:r w:rsidR="00C21BEB" w:rsidRPr="00AE525F">
        <w:rPr>
          <w:rFonts w:ascii="Times New Roman" w:hAnsi="Times New Roman"/>
          <w:sz w:val="28"/>
          <w:szCs w:val="28"/>
          <w:lang w:val="uk-UA"/>
        </w:rPr>
        <w:t xml:space="preserve">За розрахунками Науково-дослідного центру з проблем оподаткування </w:t>
      </w:r>
      <w:r w:rsidR="00657CD4" w:rsidRPr="00AE525F">
        <w:rPr>
          <w:rFonts w:ascii="Times New Roman" w:hAnsi="Times New Roman"/>
          <w:sz w:val="28"/>
          <w:szCs w:val="28"/>
          <w:lang w:val="uk-UA"/>
        </w:rPr>
        <w:t>Національної а</w:t>
      </w:r>
      <w:r w:rsidR="00C21BEB" w:rsidRPr="00AE525F">
        <w:rPr>
          <w:rFonts w:ascii="Times New Roman" w:hAnsi="Times New Roman"/>
          <w:sz w:val="28"/>
          <w:szCs w:val="28"/>
          <w:lang w:val="uk-UA"/>
        </w:rPr>
        <w:t>кадемії Д</w:t>
      </w:r>
      <w:r w:rsidR="00657CD4" w:rsidRPr="00AE525F">
        <w:rPr>
          <w:rFonts w:ascii="Times New Roman" w:hAnsi="Times New Roman"/>
          <w:sz w:val="28"/>
          <w:szCs w:val="28"/>
          <w:lang w:val="uk-UA"/>
        </w:rPr>
        <w:t>Ф</w:t>
      </w:r>
      <w:r w:rsidR="00C21BEB" w:rsidRPr="00AE525F">
        <w:rPr>
          <w:rFonts w:ascii="Times New Roman" w:hAnsi="Times New Roman"/>
          <w:sz w:val="28"/>
          <w:szCs w:val="28"/>
          <w:lang w:val="uk-UA"/>
        </w:rPr>
        <w:t>С України</w:t>
      </w:r>
      <w:r w:rsidR="00FF5B1F" w:rsidRPr="00AE525F">
        <w:rPr>
          <w:rFonts w:ascii="Times New Roman" w:hAnsi="Times New Roman"/>
          <w:sz w:val="28"/>
          <w:szCs w:val="28"/>
          <w:lang w:val="uk-UA"/>
        </w:rPr>
        <w:t xml:space="preserve"> </w:t>
      </w:r>
      <w:r w:rsidR="00C21BEB" w:rsidRPr="00AE525F">
        <w:rPr>
          <w:rFonts w:ascii="Times New Roman" w:hAnsi="Times New Roman"/>
          <w:bCs/>
          <w:sz w:val="28"/>
          <w:szCs w:val="28"/>
          <w:bdr w:val="none" w:sz="0" w:space="0" w:color="auto" w:frame="1"/>
          <w:lang w:val="uk-UA"/>
        </w:rPr>
        <w:t xml:space="preserve">їх включення в розподіл місцевих </w:t>
      </w:r>
      <w:r w:rsidR="00133CDE" w:rsidRPr="00AE525F">
        <w:rPr>
          <w:rFonts w:ascii="Times New Roman" w:hAnsi="Times New Roman"/>
          <w:bCs/>
          <w:sz w:val="28"/>
          <w:szCs w:val="28"/>
          <w:bdr w:val="none" w:sz="0" w:space="0" w:color="auto" w:frame="1"/>
          <w:lang w:val="uk-UA"/>
        </w:rPr>
        <w:t xml:space="preserve">платежів </w:t>
      </w:r>
      <w:r w:rsidR="00C21BEB" w:rsidRPr="00AE525F">
        <w:rPr>
          <w:rFonts w:ascii="Times New Roman" w:hAnsi="Times New Roman"/>
          <w:bCs/>
          <w:sz w:val="28"/>
          <w:szCs w:val="28"/>
          <w:bdr w:val="none" w:sz="0" w:space="0" w:color="auto" w:frame="1"/>
          <w:lang w:val="uk-UA"/>
        </w:rPr>
        <w:t>дасть змогу 70% доходів,</w:t>
      </w:r>
      <w:r w:rsidR="00FF5B1F" w:rsidRPr="00AE525F">
        <w:rPr>
          <w:rFonts w:ascii="Times New Roman" w:hAnsi="Times New Roman"/>
          <w:bCs/>
          <w:sz w:val="28"/>
          <w:szCs w:val="28"/>
          <w:lang w:val="uk-UA"/>
        </w:rPr>
        <w:t xml:space="preserve"> </w:t>
      </w:r>
      <w:r w:rsidR="00C21BEB" w:rsidRPr="00AE525F">
        <w:rPr>
          <w:rFonts w:ascii="Times New Roman" w:hAnsi="Times New Roman"/>
          <w:sz w:val="28"/>
          <w:szCs w:val="28"/>
          <w:lang w:val="uk-UA"/>
        </w:rPr>
        <w:t>акумульованих на території регіону,</w:t>
      </w:r>
      <w:r w:rsidR="00657CD4" w:rsidRPr="00AE525F">
        <w:rPr>
          <w:rFonts w:ascii="Times New Roman" w:hAnsi="Times New Roman"/>
          <w:sz w:val="28"/>
          <w:szCs w:val="28"/>
          <w:lang w:val="uk-UA"/>
        </w:rPr>
        <w:t xml:space="preserve"> </w:t>
      </w:r>
      <w:r w:rsidR="00C21BEB" w:rsidRPr="00AE525F">
        <w:rPr>
          <w:rFonts w:ascii="Times New Roman" w:hAnsi="Times New Roman"/>
          <w:bCs/>
          <w:sz w:val="28"/>
          <w:szCs w:val="28"/>
          <w:bdr w:val="none" w:sz="0" w:space="0" w:color="auto" w:frame="1"/>
          <w:lang w:val="uk-UA"/>
        </w:rPr>
        <w:t>залишити для покриття власних потреб</w:t>
      </w:r>
      <w:r w:rsidR="00C21BEB" w:rsidRPr="00AE525F">
        <w:rPr>
          <w:rFonts w:ascii="Times New Roman" w:hAnsi="Times New Roman"/>
          <w:sz w:val="28"/>
          <w:szCs w:val="28"/>
          <w:lang w:val="uk-UA"/>
        </w:rPr>
        <w:t>, що фактично забезпечить фінансову стійкість регіону відповідного рівня</w:t>
      </w:r>
      <w:r w:rsidR="00AD44AB" w:rsidRPr="00AE525F">
        <w:rPr>
          <w:rFonts w:ascii="Times New Roman" w:hAnsi="Times New Roman"/>
          <w:sz w:val="28"/>
          <w:szCs w:val="28"/>
          <w:lang w:val="uk-UA"/>
        </w:rPr>
        <w:t xml:space="preserve"> [7</w:t>
      </w:r>
      <w:r w:rsidR="00FF5B1F" w:rsidRPr="00AE525F">
        <w:rPr>
          <w:rFonts w:ascii="Times New Roman" w:hAnsi="Times New Roman"/>
          <w:sz w:val="28"/>
          <w:szCs w:val="28"/>
          <w:lang w:val="uk-UA"/>
        </w:rPr>
        <w:t>;</w:t>
      </w:r>
      <w:r w:rsidR="00522110" w:rsidRPr="00AE525F">
        <w:rPr>
          <w:rFonts w:ascii="Times New Roman" w:hAnsi="Times New Roman"/>
          <w:sz w:val="28"/>
          <w:szCs w:val="28"/>
          <w:lang w:val="uk-UA"/>
        </w:rPr>
        <w:t xml:space="preserve"> 9</w:t>
      </w:r>
      <w:r w:rsidR="00FF5B1F" w:rsidRPr="00AE525F">
        <w:rPr>
          <w:rFonts w:ascii="Times New Roman" w:hAnsi="Times New Roman"/>
          <w:sz w:val="28"/>
          <w:szCs w:val="28"/>
          <w:lang w:val="uk-UA"/>
        </w:rPr>
        <w:t>;</w:t>
      </w:r>
      <w:r w:rsidR="00522110" w:rsidRPr="00AE525F">
        <w:rPr>
          <w:rFonts w:ascii="Times New Roman" w:hAnsi="Times New Roman"/>
          <w:sz w:val="28"/>
          <w:szCs w:val="28"/>
          <w:lang w:val="uk-UA"/>
        </w:rPr>
        <w:t xml:space="preserve"> 4</w:t>
      </w:r>
      <w:r w:rsidR="00AD44AB" w:rsidRPr="00AE525F">
        <w:rPr>
          <w:rFonts w:ascii="Times New Roman" w:hAnsi="Times New Roman"/>
          <w:sz w:val="28"/>
          <w:szCs w:val="28"/>
          <w:lang w:val="uk-UA"/>
        </w:rPr>
        <w:t>]</w:t>
      </w:r>
      <w:r w:rsidR="00C21BEB" w:rsidRPr="00AE525F">
        <w:rPr>
          <w:rFonts w:ascii="Times New Roman" w:hAnsi="Times New Roman"/>
          <w:sz w:val="28"/>
          <w:szCs w:val="28"/>
          <w:lang w:val="uk-UA"/>
        </w:rPr>
        <w:t>.</w:t>
      </w:r>
    </w:p>
    <w:p w:rsidR="00133CDE" w:rsidRPr="00AE525F" w:rsidRDefault="00C21BEB" w:rsidP="00133CDE">
      <w:pPr>
        <w:widowControl w:val="0"/>
        <w:shd w:val="clear" w:color="auto" w:fill="FFFFFF"/>
        <w:spacing w:after="0" w:line="360" w:lineRule="auto"/>
        <w:ind w:firstLine="851"/>
        <w:jc w:val="both"/>
        <w:textAlignment w:val="baseline"/>
        <w:rPr>
          <w:rFonts w:ascii="Times New Roman" w:hAnsi="Times New Roman"/>
          <w:sz w:val="28"/>
          <w:szCs w:val="28"/>
          <w:lang w:val="uk-UA"/>
        </w:rPr>
      </w:pPr>
      <w:r w:rsidRPr="00AE525F">
        <w:rPr>
          <w:rFonts w:ascii="Times New Roman" w:hAnsi="Times New Roman"/>
          <w:sz w:val="28"/>
          <w:szCs w:val="28"/>
          <w:lang w:val="uk-UA"/>
        </w:rPr>
        <w:t>Ще одним заходом могло б стати запровадження стимулів до нарощування місцевими бюджетами коштів у формуванні їх дохідної частин</w:t>
      </w:r>
      <w:r w:rsidR="00FF5B1F" w:rsidRPr="00AE525F">
        <w:rPr>
          <w:rFonts w:ascii="Times New Roman" w:hAnsi="Times New Roman"/>
          <w:sz w:val="28"/>
          <w:szCs w:val="28"/>
          <w:lang w:val="uk-UA"/>
        </w:rPr>
        <w:t>и</w:t>
      </w:r>
      <w:r w:rsidRPr="00AE525F">
        <w:rPr>
          <w:rFonts w:ascii="Times New Roman" w:hAnsi="Times New Roman"/>
          <w:sz w:val="28"/>
          <w:szCs w:val="28"/>
          <w:lang w:val="uk-UA"/>
        </w:rPr>
        <w:t xml:space="preserve">, </w:t>
      </w:r>
      <w:r w:rsidRPr="00AE525F">
        <w:rPr>
          <w:rFonts w:ascii="Times New Roman" w:hAnsi="Times New Roman"/>
          <w:bCs/>
          <w:sz w:val="28"/>
          <w:szCs w:val="28"/>
          <w:bdr w:val="none" w:sz="0" w:space="0" w:color="auto" w:frame="1"/>
          <w:lang w:val="uk-UA"/>
        </w:rPr>
        <w:t>залишаючи певний відсоток від перевиконання річних розрахункових обсягів доходів в розпорядженн</w:t>
      </w:r>
      <w:r w:rsidR="00294DEB" w:rsidRPr="00AE525F">
        <w:rPr>
          <w:rFonts w:ascii="Times New Roman" w:hAnsi="Times New Roman"/>
          <w:bCs/>
          <w:sz w:val="28"/>
          <w:szCs w:val="28"/>
          <w:bdr w:val="none" w:sz="0" w:space="0" w:color="auto" w:frame="1"/>
          <w:lang w:val="uk-UA"/>
        </w:rPr>
        <w:t>і</w:t>
      </w:r>
      <w:r w:rsidRPr="00AE525F">
        <w:rPr>
          <w:rFonts w:ascii="Times New Roman" w:hAnsi="Times New Roman"/>
          <w:bCs/>
          <w:sz w:val="28"/>
          <w:szCs w:val="28"/>
          <w:bdr w:val="none" w:sz="0" w:space="0" w:color="auto" w:frame="1"/>
          <w:lang w:val="uk-UA"/>
        </w:rPr>
        <w:t xml:space="preserve"> місцевих </w:t>
      </w:r>
      <w:r w:rsidR="00294DEB" w:rsidRPr="00AE525F">
        <w:rPr>
          <w:rFonts w:ascii="Times New Roman" w:hAnsi="Times New Roman"/>
          <w:bCs/>
          <w:sz w:val="28"/>
          <w:szCs w:val="28"/>
          <w:bdr w:val="none" w:sz="0" w:space="0" w:color="auto" w:frame="1"/>
          <w:lang w:val="uk-UA"/>
        </w:rPr>
        <w:t>органів влади</w:t>
      </w:r>
      <w:r w:rsidRPr="00AE525F">
        <w:rPr>
          <w:rFonts w:ascii="Times New Roman" w:hAnsi="Times New Roman"/>
          <w:sz w:val="28"/>
          <w:szCs w:val="28"/>
          <w:lang w:val="uk-UA"/>
        </w:rPr>
        <w:t>.</w:t>
      </w:r>
      <w:r w:rsidR="00657CD4" w:rsidRPr="00AE525F">
        <w:rPr>
          <w:rFonts w:ascii="Times New Roman" w:hAnsi="Times New Roman"/>
          <w:sz w:val="28"/>
          <w:szCs w:val="28"/>
          <w:lang w:val="uk-UA"/>
        </w:rPr>
        <w:t xml:space="preserve"> </w:t>
      </w:r>
      <w:r w:rsidRPr="00AE525F">
        <w:rPr>
          <w:rFonts w:ascii="Times New Roman" w:hAnsi="Times New Roman"/>
          <w:sz w:val="28"/>
          <w:szCs w:val="28"/>
          <w:lang w:val="uk-UA"/>
        </w:rPr>
        <w:t>Однак, слід зазначити, що реальною передумовою для зміцнення фінансової бази бюджетів та бюджетної де</w:t>
      </w:r>
      <w:r w:rsidR="00133CDE" w:rsidRPr="00AE525F">
        <w:rPr>
          <w:rFonts w:ascii="Times New Roman" w:hAnsi="Times New Roman"/>
          <w:sz w:val="28"/>
          <w:szCs w:val="28"/>
          <w:lang w:val="uk-UA"/>
        </w:rPr>
        <w:t xml:space="preserve">централізації в Україні повинно </w:t>
      </w:r>
      <w:r w:rsidRPr="00AE525F">
        <w:rPr>
          <w:rFonts w:ascii="Times New Roman" w:hAnsi="Times New Roman"/>
          <w:sz w:val="28"/>
          <w:szCs w:val="28"/>
          <w:lang w:val="uk-UA"/>
        </w:rPr>
        <w:t>бути</w:t>
      </w:r>
      <w:r w:rsidR="00FF5B1F" w:rsidRPr="00AE525F">
        <w:rPr>
          <w:rFonts w:ascii="Times New Roman" w:hAnsi="Times New Roman"/>
          <w:sz w:val="28"/>
          <w:szCs w:val="28"/>
          <w:lang w:val="uk-UA"/>
        </w:rPr>
        <w:t xml:space="preserve"> </w:t>
      </w:r>
      <w:r w:rsidRPr="00AE525F">
        <w:rPr>
          <w:rFonts w:ascii="Times New Roman" w:hAnsi="Times New Roman"/>
          <w:bCs/>
          <w:sz w:val="28"/>
          <w:szCs w:val="28"/>
          <w:bdr w:val="none" w:sz="0" w:space="0" w:color="auto" w:frame="1"/>
          <w:lang w:val="uk-UA"/>
        </w:rPr>
        <w:t>підвищення економічного рівня розвитку відсталих регіонів держави за рахунок збільшення інвестицій</w:t>
      </w:r>
      <w:r w:rsidRPr="00AE525F">
        <w:rPr>
          <w:rFonts w:ascii="Times New Roman" w:hAnsi="Times New Roman"/>
          <w:sz w:val="28"/>
          <w:szCs w:val="28"/>
          <w:lang w:val="uk-UA"/>
        </w:rPr>
        <w:t>, що зможе підвищити їх податковий потенціал.</w:t>
      </w:r>
      <w:r w:rsidR="00133CDE" w:rsidRPr="00AE525F">
        <w:rPr>
          <w:rFonts w:ascii="Times New Roman" w:hAnsi="Times New Roman"/>
          <w:sz w:val="28"/>
          <w:szCs w:val="28"/>
          <w:lang w:val="uk-UA"/>
        </w:rPr>
        <w:t xml:space="preserve"> </w:t>
      </w:r>
      <w:r w:rsidR="00002928" w:rsidRPr="00AE525F">
        <w:rPr>
          <w:rFonts w:ascii="Times New Roman" w:hAnsi="Times New Roman"/>
          <w:sz w:val="28"/>
          <w:szCs w:val="28"/>
          <w:lang w:val="uk-UA"/>
        </w:rPr>
        <w:t>Отже</w:t>
      </w:r>
      <w:r w:rsidR="00657CD4" w:rsidRPr="00AE525F">
        <w:rPr>
          <w:rFonts w:ascii="Times New Roman" w:hAnsi="Times New Roman"/>
          <w:sz w:val="28"/>
          <w:szCs w:val="28"/>
          <w:lang w:val="uk-UA"/>
        </w:rPr>
        <w:t>,</w:t>
      </w:r>
      <w:r w:rsidRPr="00AE525F">
        <w:rPr>
          <w:rFonts w:ascii="Times New Roman" w:hAnsi="Times New Roman"/>
          <w:sz w:val="28"/>
          <w:szCs w:val="28"/>
          <w:lang w:val="uk-UA"/>
        </w:rPr>
        <w:t xml:space="preserve"> задля поліпшення надання послуг громадянам державі слід посилити зв’язок між послугами, що надаються на місцевому рівні, та необхідним обсягом фінансових ресурсів для них. Тому стає необхідним зростання самодостатності та відповідальності місцевих бюджетів, а відтак і їхньої доходної бази. </w:t>
      </w:r>
    </w:p>
    <w:p w:rsidR="005364F1" w:rsidRPr="00AE525F" w:rsidRDefault="00133CDE" w:rsidP="00AD44AB">
      <w:pPr>
        <w:pStyle w:val="Default"/>
        <w:spacing w:line="360" w:lineRule="auto"/>
        <w:ind w:firstLine="680"/>
        <w:jc w:val="both"/>
        <w:rPr>
          <w:sz w:val="28"/>
          <w:szCs w:val="28"/>
          <w:lang w:val="uk-UA"/>
        </w:rPr>
      </w:pPr>
      <w:r w:rsidRPr="00AE525F">
        <w:rPr>
          <w:sz w:val="28"/>
          <w:szCs w:val="28"/>
          <w:lang w:val="uk-UA"/>
        </w:rPr>
        <w:t>З</w:t>
      </w:r>
      <w:r w:rsidR="005364F1" w:rsidRPr="00AE525F">
        <w:rPr>
          <w:sz w:val="28"/>
          <w:szCs w:val="28"/>
          <w:lang w:val="uk-UA"/>
        </w:rPr>
        <w:t>ауважи</w:t>
      </w:r>
      <w:r w:rsidRPr="00AE525F">
        <w:rPr>
          <w:sz w:val="28"/>
          <w:szCs w:val="28"/>
          <w:lang w:val="uk-UA"/>
        </w:rPr>
        <w:t>мо</w:t>
      </w:r>
      <w:r w:rsidR="005364F1" w:rsidRPr="00AE525F">
        <w:rPr>
          <w:sz w:val="28"/>
          <w:szCs w:val="28"/>
          <w:lang w:val="uk-UA"/>
        </w:rPr>
        <w:t>, що в Україні є значні приховані резерви сплати ПДФО, пов’язані із достатньо вагомим тіньовим сектором економіки, який дозволяє приховувати доходи громадян від оподаткування. Зокрема, ще у 2012 р. у вітчизняній практиці відбулося суттєве пом’якшення відповідальності за податкові правопорушення, відповідно до яких максимальна санкція за ухилення від сплати податків у вигляді 10 років позбавлення волі замінена грошовим штрафом, нехай і досить великим. При цьому загальновідомо, що кримінальна відповідальність за ухилення від сплати податків існує у тих країнах, де рівень добровільності сплати податків, взагалі рівень податкової культури значно вищий</w:t>
      </w:r>
      <w:r w:rsidR="00B5052C" w:rsidRPr="00AE525F">
        <w:rPr>
          <w:sz w:val="28"/>
          <w:szCs w:val="28"/>
          <w:lang w:val="uk-UA"/>
        </w:rPr>
        <w:t>,</w:t>
      </w:r>
      <w:r w:rsidR="005364F1" w:rsidRPr="00AE525F">
        <w:rPr>
          <w:sz w:val="28"/>
          <w:szCs w:val="28"/>
          <w:lang w:val="uk-UA"/>
        </w:rPr>
        <w:t xml:space="preserve"> ніж в Україні. США найбільш показова в цьому плані країна</w:t>
      </w:r>
      <w:r w:rsidR="00AD44AB" w:rsidRPr="00AE525F">
        <w:rPr>
          <w:sz w:val="28"/>
          <w:szCs w:val="28"/>
          <w:lang w:val="uk-UA"/>
        </w:rPr>
        <w:t xml:space="preserve"> [10, c. 257]</w:t>
      </w:r>
      <w:r w:rsidR="005364F1" w:rsidRPr="00AE525F">
        <w:rPr>
          <w:sz w:val="28"/>
          <w:szCs w:val="28"/>
          <w:lang w:val="uk-UA"/>
        </w:rPr>
        <w:t xml:space="preserve">. Відтак, із внесеними змінами щодо кримінальної </w:t>
      </w:r>
      <w:r w:rsidR="005364F1" w:rsidRPr="00AE525F">
        <w:rPr>
          <w:sz w:val="28"/>
          <w:szCs w:val="28"/>
          <w:lang w:val="uk-UA"/>
        </w:rPr>
        <w:lastRenderedPageBreak/>
        <w:t xml:space="preserve">відповідальності, сьогодні існує реальна можливість уникнути кримінальної відповідальності за ухилення від сплати податків і </w:t>
      </w:r>
      <w:r w:rsidR="00B5052C" w:rsidRPr="00AE525F">
        <w:rPr>
          <w:sz w:val="28"/>
          <w:szCs w:val="28"/>
          <w:lang w:val="uk-UA"/>
        </w:rPr>
        <w:t>насамперед</w:t>
      </w:r>
      <w:r w:rsidR="005364F1" w:rsidRPr="00AE525F">
        <w:rPr>
          <w:sz w:val="28"/>
          <w:szCs w:val="28"/>
          <w:lang w:val="uk-UA"/>
        </w:rPr>
        <w:t xml:space="preserve"> в особливо великих розмірах. Для цього тепер достатньо компенсувати збитки державі «в повному обсязі». </w:t>
      </w:r>
    </w:p>
    <w:p w:rsidR="00133CDE" w:rsidRPr="00AE525F" w:rsidRDefault="00133CDE" w:rsidP="00133CDE">
      <w:pPr>
        <w:autoSpaceDE w:val="0"/>
        <w:autoSpaceDN w:val="0"/>
        <w:adjustRightInd w:val="0"/>
        <w:spacing w:after="0" w:line="360" w:lineRule="auto"/>
        <w:ind w:firstLine="708"/>
        <w:jc w:val="both"/>
        <w:rPr>
          <w:rFonts w:ascii="Times New Roman" w:hAnsi="Times New Roman" w:cs="Times New Roman"/>
          <w:sz w:val="28"/>
          <w:szCs w:val="28"/>
          <w:lang w:val="uk-UA"/>
        </w:rPr>
      </w:pPr>
      <w:r w:rsidRPr="00AE525F">
        <w:rPr>
          <w:rFonts w:ascii="Times New Roman" w:hAnsi="Times New Roman" w:cs="Times New Roman"/>
          <w:sz w:val="28"/>
          <w:szCs w:val="28"/>
          <w:lang w:val="uk-UA"/>
        </w:rPr>
        <w:t>Легальна мінімізація податкових зобов’язань по сплаті податку на доходи фізичних осіб обумовлена недоліками самого механізму справляння податку та прогалинами вітчизняного податкового законодавства. Шляхом штучної маніпуляції податковим статусом джерела доходу найбагатші громадяни країни здійснюють мінімізацію своїх податкових зобов’язань. Саме тому, сьогодні на порядку денному стоїть боротьба</w:t>
      </w:r>
      <w:r w:rsidR="00222C82" w:rsidRPr="00AE525F">
        <w:rPr>
          <w:rFonts w:ascii="Times New Roman" w:hAnsi="Times New Roman" w:cs="Times New Roman"/>
          <w:sz w:val="28"/>
          <w:szCs w:val="28"/>
          <w:lang w:val="uk-UA"/>
        </w:rPr>
        <w:t xml:space="preserve"> із тіньовим сектором економіки</w:t>
      </w:r>
      <w:r w:rsidRPr="00AE525F">
        <w:rPr>
          <w:rFonts w:ascii="Times New Roman" w:hAnsi="Times New Roman" w:cs="Times New Roman"/>
          <w:sz w:val="28"/>
          <w:szCs w:val="28"/>
          <w:lang w:val="uk-UA"/>
        </w:rPr>
        <w:t xml:space="preserve"> задля забезпечення поступального соціально-економічного розвитку країни та виходу із економічної та політичної кризи.</w:t>
      </w:r>
    </w:p>
    <w:p w:rsidR="00133CDE" w:rsidRPr="00AE525F" w:rsidRDefault="009F5BC0" w:rsidP="00222C82">
      <w:pPr>
        <w:tabs>
          <w:tab w:val="left" w:pos="851"/>
          <w:tab w:val="left" w:pos="993"/>
          <w:tab w:val="left" w:pos="1276"/>
        </w:tabs>
        <w:spacing w:after="0" w:line="360" w:lineRule="auto"/>
        <w:ind w:firstLine="567"/>
        <w:jc w:val="both"/>
        <w:rPr>
          <w:rFonts w:ascii="Times New Roman" w:hAnsi="Times New Roman" w:cs="Times New Roman"/>
          <w:sz w:val="28"/>
          <w:szCs w:val="28"/>
          <w:lang w:val="uk-UA"/>
        </w:rPr>
      </w:pPr>
      <w:r w:rsidRPr="00AE525F">
        <w:rPr>
          <w:rFonts w:ascii="Times New Roman" w:hAnsi="Times New Roman" w:cs="Times New Roman"/>
          <w:b/>
          <w:i/>
          <w:sz w:val="28"/>
          <w:szCs w:val="28"/>
          <w:u w:val="single"/>
          <w:lang w:val="uk-UA"/>
        </w:rPr>
        <w:t>Висновки та подальші дослідження</w:t>
      </w:r>
      <w:r w:rsidRPr="00AE525F">
        <w:rPr>
          <w:rFonts w:ascii="Times New Roman" w:hAnsi="Times New Roman" w:cs="Times New Roman"/>
          <w:sz w:val="28"/>
          <w:szCs w:val="28"/>
          <w:lang w:val="uk-UA"/>
        </w:rPr>
        <w:t>.</w:t>
      </w:r>
      <w:r w:rsidRPr="00AE525F">
        <w:rPr>
          <w:rFonts w:ascii="Times New Roman" w:hAnsi="Times New Roman"/>
          <w:sz w:val="28"/>
          <w:szCs w:val="28"/>
          <w:lang w:val="uk-UA"/>
        </w:rPr>
        <w:t xml:space="preserve"> </w:t>
      </w:r>
      <w:r w:rsidR="00133CDE" w:rsidRPr="00AE525F">
        <w:rPr>
          <w:rFonts w:ascii="Times New Roman" w:hAnsi="Times New Roman" w:cs="Times New Roman"/>
          <w:sz w:val="28"/>
          <w:szCs w:val="28"/>
          <w:lang w:val="uk-UA"/>
        </w:rPr>
        <w:t>На нашу думку, з метою забезпечення зростання дохідної частини місцевих бюджетів за рахунок податкових надходжень необхідно:</w:t>
      </w:r>
    </w:p>
    <w:p w:rsidR="009F5BC0" w:rsidRPr="00AE525F" w:rsidRDefault="009F5BC0" w:rsidP="009F5BC0">
      <w:pPr>
        <w:autoSpaceDE w:val="0"/>
        <w:autoSpaceDN w:val="0"/>
        <w:adjustRightInd w:val="0"/>
        <w:spacing w:after="0" w:line="360" w:lineRule="auto"/>
        <w:ind w:firstLine="708"/>
        <w:jc w:val="both"/>
        <w:rPr>
          <w:rFonts w:ascii="Times New Roman" w:eastAsia="MinionPro-Regular" w:hAnsi="Times New Roman" w:cs="Times New Roman"/>
          <w:color w:val="000000"/>
          <w:sz w:val="28"/>
          <w:szCs w:val="28"/>
          <w:lang w:val="uk-UA"/>
        </w:rPr>
      </w:pPr>
      <w:r w:rsidRPr="00AE525F">
        <w:rPr>
          <w:rFonts w:ascii="Times New Roman" w:eastAsia="MinionPro-Regular" w:hAnsi="Times New Roman" w:cs="Times New Roman"/>
          <w:color w:val="000000"/>
          <w:sz w:val="28"/>
          <w:szCs w:val="28"/>
          <w:lang w:val="uk-UA"/>
        </w:rPr>
        <w:t>– забезпечити повний облік активів територіальної громади, незалежно від форми їх власності в частині пошуку напрямів оптимізації їх використання та розширення податкової бази;</w:t>
      </w:r>
    </w:p>
    <w:p w:rsidR="009F5BC0" w:rsidRPr="00AE525F" w:rsidRDefault="009F5BC0" w:rsidP="009F5BC0">
      <w:pPr>
        <w:autoSpaceDE w:val="0"/>
        <w:autoSpaceDN w:val="0"/>
        <w:adjustRightInd w:val="0"/>
        <w:spacing w:after="0" w:line="360" w:lineRule="auto"/>
        <w:ind w:firstLine="708"/>
        <w:jc w:val="both"/>
        <w:rPr>
          <w:rFonts w:ascii="Times New Roman" w:eastAsia="MinionPro-Regular" w:hAnsi="Times New Roman" w:cs="Times New Roman"/>
          <w:color w:val="000000"/>
          <w:sz w:val="28"/>
          <w:szCs w:val="28"/>
          <w:lang w:val="uk-UA"/>
        </w:rPr>
      </w:pPr>
      <w:r w:rsidRPr="00AE525F">
        <w:rPr>
          <w:rFonts w:ascii="Times New Roman" w:eastAsia="MinionPro-Regular" w:hAnsi="Times New Roman" w:cs="Times New Roman"/>
          <w:color w:val="000000"/>
          <w:sz w:val="28"/>
          <w:szCs w:val="28"/>
          <w:lang w:val="uk-UA"/>
        </w:rPr>
        <w:t>– ужити заходи щодо зниження масштабів тінізації заробітної плати. За оцінками вітчизняних аналітиків, економія підприємств в умовах нелегальних розрахунків із найманими працівниками становить не менше ніж п’ята частина фонду оплати праці, по суті, це недоотримані бюджетні надходження;</w:t>
      </w:r>
    </w:p>
    <w:p w:rsidR="009F5BC0" w:rsidRPr="00AE525F" w:rsidRDefault="009F5BC0" w:rsidP="009F5BC0">
      <w:pPr>
        <w:pStyle w:val="a3"/>
        <w:numPr>
          <w:ilvl w:val="0"/>
          <w:numId w:val="4"/>
        </w:numPr>
        <w:spacing w:line="360" w:lineRule="auto"/>
        <w:ind w:left="0" w:firstLine="360"/>
        <w:jc w:val="both"/>
        <w:rPr>
          <w:sz w:val="28"/>
          <w:szCs w:val="28"/>
          <w:lang w:val="uk-UA"/>
        </w:rPr>
      </w:pPr>
      <w:r w:rsidRPr="00AE525F">
        <w:rPr>
          <w:sz w:val="28"/>
          <w:szCs w:val="28"/>
          <w:lang w:val="uk-UA"/>
        </w:rPr>
        <w:t>сприяння розвитку майнового оподаткування та повної передачі ПДФО (крім пасивних доходів) на місцевий рівень із зарахуванням за місцем прописки фізичної особи – платника, а не податкового агента як зараз;</w:t>
      </w:r>
    </w:p>
    <w:p w:rsidR="009F5BC0" w:rsidRPr="00AE525F" w:rsidRDefault="009F5BC0" w:rsidP="009F5BC0">
      <w:pPr>
        <w:pStyle w:val="a3"/>
        <w:numPr>
          <w:ilvl w:val="0"/>
          <w:numId w:val="4"/>
        </w:numPr>
        <w:spacing w:line="360" w:lineRule="auto"/>
        <w:ind w:left="0" w:firstLine="360"/>
        <w:jc w:val="both"/>
        <w:rPr>
          <w:sz w:val="28"/>
          <w:szCs w:val="28"/>
          <w:lang w:val="uk-UA"/>
        </w:rPr>
      </w:pPr>
      <w:r w:rsidRPr="00AE525F">
        <w:rPr>
          <w:sz w:val="28"/>
          <w:szCs w:val="28"/>
          <w:lang w:val="uk-UA"/>
        </w:rPr>
        <w:t xml:space="preserve">поступове удосконалення контролю за використанням та розширенням сфери застосування реєстраторів розрахункових операцій (касових апаратів) із здешевленням вартості їх обслуговування;  </w:t>
      </w:r>
    </w:p>
    <w:p w:rsidR="009F5BC0" w:rsidRPr="00AE525F" w:rsidRDefault="009F5BC0" w:rsidP="009F5BC0">
      <w:pPr>
        <w:pStyle w:val="a3"/>
        <w:numPr>
          <w:ilvl w:val="0"/>
          <w:numId w:val="4"/>
        </w:numPr>
        <w:spacing w:line="360" w:lineRule="auto"/>
        <w:ind w:left="0" w:firstLine="426"/>
        <w:jc w:val="both"/>
        <w:rPr>
          <w:sz w:val="28"/>
          <w:szCs w:val="28"/>
          <w:lang w:val="uk-UA"/>
        </w:rPr>
      </w:pPr>
      <w:r w:rsidRPr="00AE525F">
        <w:rPr>
          <w:sz w:val="28"/>
          <w:szCs w:val="28"/>
          <w:lang w:val="uk-UA"/>
        </w:rPr>
        <w:t>запровадження мораторію на зміни податкових ставок у період виконання бюджету.</w:t>
      </w:r>
    </w:p>
    <w:p w:rsidR="009F5BC0" w:rsidRPr="00AE525F" w:rsidRDefault="009F5BC0" w:rsidP="009F5BC0">
      <w:pPr>
        <w:pStyle w:val="a3"/>
        <w:numPr>
          <w:ilvl w:val="0"/>
          <w:numId w:val="4"/>
        </w:numPr>
        <w:spacing w:line="360" w:lineRule="auto"/>
        <w:ind w:left="0" w:firstLine="360"/>
        <w:jc w:val="both"/>
        <w:rPr>
          <w:sz w:val="28"/>
          <w:szCs w:val="28"/>
          <w:lang w:val="uk-UA"/>
        </w:rPr>
      </w:pPr>
      <w:r w:rsidRPr="00AE525F">
        <w:rPr>
          <w:sz w:val="28"/>
          <w:szCs w:val="28"/>
          <w:lang w:val="uk-UA"/>
        </w:rPr>
        <w:lastRenderedPageBreak/>
        <w:t>розширення бази для акцизного оподаткування (розширення переліку підакцизних товарів, які становлять предмети розко</w:t>
      </w:r>
      <w:r w:rsidR="00222C82" w:rsidRPr="00AE525F">
        <w:rPr>
          <w:sz w:val="28"/>
          <w:szCs w:val="28"/>
          <w:lang w:val="uk-UA"/>
        </w:rPr>
        <w:t>ш</w:t>
      </w:r>
      <w:r w:rsidRPr="00AE525F">
        <w:rPr>
          <w:sz w:val="28"/>
          <w:szCs w:val="28"/>
          <w:lang w:val="uk-UA"/>
        </w:rPr>
        <w:t xml:space="preserve">і: дорогі автомобілі, антикваріат, твори мистецтва, ювелірні вироби та інше); </w:t>
      </w:r>
    </w:p>
    <w:p w:rsidR="009F5BC0" w:rsidRPr="00AE525F" w:rsidRDefault="009F5BC0" w:rsidP="009F5BC0">
      <w:pPr>
        <w:pStyle w:val="a3"/>
        <w:numPr>
          <w:ilvl w:val="0"/>
          <w:numId w:val="4"/>
        </w:numPr>
        <w:spacing w:line="360" w:lineRule="auto"/>
        <w:ind w:left="0" w:firstLine="360"/>
        <w:jc w:val="both"/>
        <w:rPr>
          <w:sz w:val="28"/>
          <w:szCs w:val="28"/>
          <w:lang w:val="uk-UA"/>
        </w:rPr>
      </w:pPr>
      <w:r w:rsidRPr="00AE525F">
        <w:rPr>
          <w:sz w:val="28"/>
          <w:szCs w:val="28"/>
          <w:lang w:val="uk-UA"/>
        </w:rPr>
        <w:t>налагодження процесу оцінки (моніторингу) ефективності податкових пільг (втрат) бюджету;</w:t>
      </w:r>
    </w:p>
    <w:p w:rsidR="00133CDE" w:rsidRPr="00AE525F" w:rsidRDefault="009F5BC0" w:rsidP="009F5BC0">
      <w:pPr>
        <w:pStyle w:val="a3"/>
        <w:numPr>
          <w:ilvl w:val="0"/>
          <w:numId w:val="4"/>
        </w:numPr>
        <w:spacing w:line="360" w:lineRule="auto"/>
        <w:ind w:left="0" w:firstLine="426"/>
        <w:jc w:val="both"/>
        <w:rPr>
          <w:sz w:val="28"/>
          <w:szCs w:val="28"/>
          <w:lang w:val="uk-UA"/>
        </w:rPr>
      </w:pPr>
      <w:r w:rsidRPr="00AE525F">
        <w:rPr>
          <w:sz w:val="28"/>
          <w:szCs w:val="28"/>
          <w:lang w:val="uk-UA"/>
        </w:rPr>
        <w:t>запровадження мораторію на зміни податкових ставок у період виконання бюджету.</w:t>
      </w:r>
    </w:p>
    <w:p w:rsidR="00C21BEB" w:rsidRPr="00AE525F" w:rsidRDefault="005364F1" w:rsidP="00C21BEB">
      <w:pPr>
        <w:widowControl w:val="0"/>
        <w:shd w:val="clear" w:color="auto" w:fill="FFFFFF"/>
        <w:spacing w:after="0" w:line="360" w:lineRule="auto"/>
        <w:ind w:firstLine="851"/>
        <w:jc w:val="both"/>
        <w:textAlignment w:val="baseline"/>
        <w:rPr>
          <w:rFonts w:ascii="Times New Roman" w:hAnsi="Times New Roman"/>
          <w:sz w:val="28"/>
          <w:szCs w:val="28"/>
          <w:lang w:val="uk-UA"/>
        </w:rPr>
      </w:pPr>
      <w:r w:rsidRPr="00AE525F">
        <w:rPr>
          <w:rFonts w:ascii="Times New Roman" w:hAnsi="Times New Roman"/>
          <w:sz w:val="28"/>
          <w:szCs w:val="28"/>
          <w:lang w:val="uk-UA"/>
        </w:rPr>
        <w:t>Таким чином, з</w:t>
      </w:r>
      <w:r w:rsidR="00C21BEB" w:rsidRPr="00AE525F">
        <w:rPr>
          <w:rFonts w:ascii="Times New Roman" w:hAnsi="Times New Roman"/>
          <w:sz w:val="28"/>
          <w:szCs w:val="28"/>
          <w:lang w:val="uk-UA"/>
        </w:rPr>
        <w:t xml:space="preserve">азначені заходи сприятимуть </w:t>
      </w:r>
      <w:r w:rsidRPr="00AE525F">
        <w:rPr>
          <w:rFonts w:ascii="Times New Roman" w:hAnsi="Times New Roman"/>
          <w:sz w:val="28"/>
          <w:szCs w:val="28"/>
          <w:lang w:val="uk-UA"/>
        </w:rPr>
        <w:t>зростанню</w:t>
      </w:r>
      <w:r w:rsidR="00C21BEB" w:rsidRPr="00AE525F">
        <w:rPr>
          <w:rFonts w:ascii="Times New Roman" w:hAnsi="Times New Roman"/>
          <w:sz w:val="28"/>
          <w:szCs w:val="28"/>
          <w:lang w:val="uk-UA"/>
        </w:rPr>
        <w:t xml:space="preserve"> фінансової стійкості регіону, зменшать зустрічний рух фінансових ресурсів у вигляді трансфертів, дадуть змогу посилити контроль за їх використанням, а відтак наявні фінансові ресурси дозволять забезпечити населення території відповідними суспільними послугами.</w:t>
      </w:r>
    </w:p>
    <w:p w:rsidR="00A53901" w:rsidRPr="00AE525F" w:rsidRDefault="00A53901" w:rsidP="00FE4717">
      <w:pPr>
        <w:widowControl w:val="0"/>
        <w:shd w:val="clear" w:color="auto" w:fill="FFFFFF"/>
        <w:spacing w:after="0" w:line="360" w:lineRule="auto"/>
        <w:textAlignment w:val="baseline"/>
        <w:rPr>
          <w:rFonts w:ascii="Times New Roman" w:hAnsi="Times New Roman"/>
          <w:b/>
          <w:sz w:val="28"/>
          <w:szCs w:val="28"/>
          <w:lang w:val="uk-UA"/>
        </w:rPr>
      </w:pPr>
    </w:p>
    <w:p w:rsidR="00657CD4" w:rsidRPr="00AE525F" w:rsidRDefault="00EF7107" w:rsidP="00657CD4">
      <w:pPr>
        <w:widowControl w:val="0"/>
        <w:shd w:val="clear" w:color="auto" w:fill="FFFFFF"/>
        <w:spacing w:after="0" w:line="360" w:lineRule="auto"/>
        <w:ind w:firstLine="851"/>
        <w:jc w:val="center"/>
        <w:textAlignment w:val="baseline"/>
        <w:rPr>
          <w:rFonts w:ascii="Times New Roman" w:hAnsi="Times New Roman"/>
          <w:b/>
          <w:sz w:val="28"/>
          <w:szCs w:val="28"/>
          <w:lang w:val="uk-UA"/>
        </w:rPr>
      </w:pPr>
      <w:r w:rsidRPr="00AE525F">
        <w:rPr>
          <w:rFonts w:ascii="Times New Roman" w:hAnsi="Times New Roman"/>
          <w:b/>
          <w:sz w:val="28"/>
          <w:szCs w:val="28"/>
          <w:lang w:val="uk-UA"/>
        </w:rPr>
        <w:t>Література</w:t>
      </w:r>
    </w:p>
    <w:p w:rsidR="00657CD4" w:rsidRPr="00AE525F" w:rsidRDefault="00657CD4" w:rsidP="00DE7196">
      <w:pPr>
        <w:pStyle w:val="a3"/>
        <w:widowControl w:val="0"/>
        <w:shd w:val="clear" w:color="auto" w:fill="FFFFFF"/>
        <w:spacing w:line="360" w:lineRule="auto"/>
        <w:ind w:left="1211"/>
        <w:jc w:val="both"/>
        <w:textAlignment w:val="baseline"/>
        <w:rPr>
          <w:sz w:val="28"/>
          <w:szCs w:val="28"/>
          <w:lang w:val="uk-UA"/>
        </w:rPr>
      </w:pPr>
    </w:p>
    <w:p w:rsidR="002B2CFF" w:rsidRPr="00AE525F" w:rsidRDefault="00EF7107" w:rsidP="00EF7107">
      <w:pPr>
        <w:numPr>
          <w:ilvl w:val="0"/>
          <w:numId w:val="3"/>
        </w:numPr>
        <w:tabs>
          <w:tab w:val="left" w:pos="851"/>
        </w:tabs>
        <w:spacing w:after="0" w:line="360" w:lineRule="auto"/>
        <w:ind w:left="0" w:firstLine="567"/>
        <w:jc w:val="both"/>
        <w:rPr>
          <w:rFonts w:ascii="Times New Roman" w:hAnsi="Times New Roman" w:cs="Times New Roman"/>
          <w:sz w:val="28"/>
          <w:szCs w:val="28"/>
          <w:lang w:val="uk-UA"/>
        </w:rPr>
      </w:pPr>
      <w:r w:rsidRPr="00AE525F">
        <w:rPr>
          <w:rFonts w:ascii="Times New Roman" w:hAnsi="Times New Roman" w:cs="Times New Roman"/>
          <w:sz w:val="28"/>
          <w:szCs w:val="28"/>
          <w:lang w:val="uk-UA"/>
        </w:rPr>
        <w:t>Бюджетна система: підручник</w:t>
      </w:r>
      <w:r w:rsidR="00A147BB" w:rsidRPr="00AE525F">
        <w:rPr>
          <w:rFonts w:ascii="Times New Roman" w:hAnsi="Times New Roman" w:cs="Times New Roman"/>
          <w:sz w:val="28"/>
          <w:szCs w:val="28"/>
          <w:lang w:val="uk-UA"/>
        </w:rPr>
        <w:t xml:space="preserve"> / за ред. С.</w:t>
      </w:r>
      <w:r w:rsidRPr="00AE525F">
        <w:rPr>
          <w:rFonts w:ascii="Times New Roman" w:hAnsi="Times New Roman" w:cs="Times New Roman"/>
          <w:sz w:val="28"/>
          <w:szCs w:val="28"/>
          <w:lang w:val="uk-UA"/>
        </w:rPr>
        <w:t> </w:t>
      </w:r>
      <w:r w:rsidR="00A147BB" w:rsidRPr="00AE525F">
        <w:rPr>
          <w:rFonts w:ascii="Times New Roman" w:hAnsi="Times New Roman" w:cs="Times New Roman"/>
          <w:sz w:val="28"/>
          <w:szCs w:val="28"/>
          <w:lang w:val="uk-UA"/>
        </w:rPr>
        <w:t>І. Юрія, В.</w:t>
      </w:r>
      <w:r w:rsidRPr="00AE525F">
        <w:rPr>
          <w:rFonts w:ascii="Times New Roman" w:hAnsi="Times New Roman" w:cs="Times New Roman"/>
          <w:sz w:val="28"/>
          <w:szCs w:val="28"/>
          <w:lang w:val="uk-UA"/>
        </w:rPr>
        <w:t> </w:t>
      </w:r>
      <w:r w:rsidR="00A147BB" w:rsidRPr="00AE525F">
        <w:rPr>
          <w:rFonts w:ascii="Times New Roman" w:hAnsi="Times New Roman" w:cs="Times New Roman"/>
          <w:sz w:val="28"/>
          <w:szCs w:val="28"/>
          <w:lang w:val="uk-UA"/>
        </w:rPr>
        <w:t>Г. Дем</w:t>
      </w:r>
      <w:r w:rsidR="00BE7D76" w:rsidRPr="00AE525F">
        <w:rPr>
          <w:rFonts w:ascii="Times New Roman" w:hAnsi="Times New Roman" w:cs="Times New Roman"/>
          <w:sz w:val="28"/>
          <w:szCs w:val="28"/>
          <w:lang w:val="uk-UA"/>
        </w:rPr>
        <w:t>’</w:t>
      </w:r>
      <w:r w:rsidR="00A147BB" w:rsidRPr="00AE525F">
        <w:rPr>
          <w:rFonts w:ascii="Times New Roman" w:hAnsi="Times New Roman" w:cs="Times New Roman"/>
          <w:sz w:val="28"/>
          <w:szCs w:val="28"/>
          <w:lang w:val="uk-UA"/>
        </w:rPr>
        <w:t>янишина, О.</w:t>
      </w:r>
      <w:r w:rsidRPr="00AE525F">
        <w:rPr>
          <w:rFonts w:ascii="Times New Roman" w:hAnsi="Times New Roman" w:cs="Times New Roman"/>
          <w:sz w:val="28"/>
          <w:szCs w:val="28"/>
          <w:lang w:val="uk-UA"/>
        </w:rPr>
        <w:t> </w:t>
      </w:r>
      <w:r w:rsidR="00A147BB" w:rsidRPr="00AE525F">
        <w:rPr>
          <w:rFonts w:ascii="Times New Roman" w:hAnsi="Times New Roman" w:cs="Times New Roman"/>
          <w:sz w:val="28"/>
          <w:szCs w:val="28"/>
          <w:lang w:val="uk-UA"/>
        </w:rPr>
        <w:t>П.</w:t>
      </w:r>
      <w:r w:rsidRPr="00AE525F">
        <w:rPr>
          <w:rFonts w:ascii="Times New Roman" w:hAnsi="Times New Roman" w:cs="Times New Roman"/>
          <w:sz w:val="28"/>
          <w:szCs w:val="28"/>
          <w:lang w:val="uk-UA"/>
        </w:rPr>
        <w:t> </w:t>
      </w:r>
      <w:r w:rsidR="00A147BB" w:rsidRPr="00AE525F">
        <w:rPr>
          <w:rFonts w:ascii="Times New Roman" w:hAnsi="Times New Roman" w:cs="Times New Roman"/>
          <w:sz w:val="28"/>
          <w:szCs w:val="28"/>
          <w:lang w:val="uk-UA"/>
        </w:rPr>
        <w:t>Кириленко. Тернопіль: ТНЕУ, 2013. 624 с.</w:t>
      </w:r>
    </w:p>
    <w:p w:rsidR="00155220" w:rsidRPr="00155220" w:rsidRDefault="002B2CFF" w:rsidP="00EF7107">
      <w:pPr>
        <w:numPr>
          <w:ilvl w:val="0"/>
          <w:numId w:val="3"/>
        </w:numPr>
        <w:tabs>
          <w:tab w:val="left" w:pos="851"/>
        </w:tabs>
        <w:spacing w:after="0" w:line="360" w:lineRule="auto"/>
        <w:ind w:left="0" w:firstLine="567"/>
        <w:jc w:val="both"/>
        <w:rPr>
          <w:rFonts w:ascii="Times New Roman" w:hAnsi="Times New Roman" w:cs="Times New Roman"/>
          <w:sz w:val="28"/>
          <w:szCs w:val="28"/>
          <w:lang w:val="uk-UA"/>
        </w:rPr>
      </w:pPr>
      <w:r w:rsidRPr="00155220">
        <w:rPr>
          <w:rFonts w:ascii="Times New Roman" w:eastAsia="TimesNewRoman" w:hAnsi="Times New Roman" w:cs="Times New Roman"/>
          <w:sz w:val="28"/>
          <w:szCs w:val="28"/>
          <w:lang w:val="uk-UA"/>
        </w:rPr>
        <w:t xml:space="preserve">Бюджетний кодекс України: Закон України вiд 08 липня 2010 року за № 2456-VI: URL: </w:t>
      </w:r>
      <w:hyperlink r:id="rId8" w:history="1">
        <w:r w:rsidRPr="00155220">
          <w:rPr>
            <w:rStyle w:val="ab"/>
            <w:rFonts w:ascii="Times New Roman" w:eastAsia="TimesNewRoman" w:hAnsi="Times New Roman" w:cs="Times New Roman"/>
            <w:color w:val="auto"/>
            <w:sz w:val="28"/>
            <w:szCs w:val="28"/>
            <w:u w:val="none"/>
            <w:lang w:val="uk-UA"/>
          </w:rPr>
          <w:t>http://</w:t>
        </w:r>
        <w:r w:rsidR="00155220" w:rsidRPr="00155220">
          <w:t xml:space="preserve"> </w:t>
        </w:r>
        <w:r w:rsidR="00155220" w:rsidRPr="00155220">
          <w:rPr>
            <w:rStyle w:val="ab"/>
            <w:rFonts w:ascii="Times New Roman" w:eastAsia="TimesNewRoman" w:hAnsi="Times New Roman" w:cs="Times New Roman"/>
            <w:color w:val="auto"/>
            <w:sz w:val="28"/>
            <w:szCs w:val="28"/>
            <w:u w:val="none"/>
            <w:lang w:val="uk-UA"/>
          </w:rPr>
          <w:t>http://zakon5.rada.gov.ua/laws/show/2456-17</w:t>
        </w:r>
      </w:hyperlink>
      <w:r w:rsidR="00B77C19" w:rsidRPr="00155220">
        <w:rPr>
          <w:rStyle w:val="ab"/>
          <w:rFonts w:ascii="Times New Roman" w:eastAsia="TimesNewRoman" w:hAnsi="Times New Roman" w:cs="Times New Roman"/>
          <w:color w:val="auto"/>
          <w:sz w:val="28"/>
          <w:szCs w:val="28"/>
          <w:u w:val="none"/>
          <w:lang w:val="uk-UA"/>
        </w:rPr>
        <w:t xml:space="preserve"> </w:t>
      </w:r>
      <w:r w:rsidR="00B77C19" w:rsidRPr="00155220">
        <w:rPr>
          <w:rFonts w:ascii="Times New Roman" w:hAnsi="Times New Roman" w:cs="Times New Roman"/>
          <w:sz w:val="28"/>
          <w:szCs w:val="28"/>
          <w:lang w:val="uk-UA"/>
        </w:rPr>
        <w:t>(</w:t>
      </w:r>
      <w:r w:rsidR="00AE525F" w:rsidRPr="00155220">
        <w:rPr>
          <w:rFonts w:ascii="Times New Roman" w:hAnsi="Times New Roman" w:cs="Times New Roman"/>
          <w:sz w:val="28"/>
          <w:szCs w:val="28"/>
          <w:lang w:val="uk-UA"/>
        </w:rPr>
        <w:t>дата звернення: 10.</w:t>
      </w:r>
      <w:r w:rsidR="00155220">
        <w:rPr>
          <w:rFonts w:ascii="Times New Roman" w:hAnsi="Times New Roman" w:cs="Times New Roman"/>
          <w:sz w:val="28"/>
          <w:szCs w:val="28"/>
          <w:lang w:val="uk-UA"/>
        </w:rPr>
        <w:t>03</w:t>
      </w:r>
      <w:r w:rsidR="00AE525F" w:rsidRPr="00155220">
        <w:rPr>
          <w:rFonts w:ascii="Times New Roman" w:hAnsi="Times New Roman" w:cs="Times New Roman"/>
          <w:sz w:val="28"/>
          <w:szCs w:val="28"/>
          <w:lang w:val="uk-UA"/>
        </w:rPr>
        <w:t>. 201</w:t>
      </w:r>
      <w:r w:rsidR="00155220">
        <w:rPr>
          <w:rFonts w:ascii="Times New Roman" w:hAnsi="Times New Roman" w:cs="Times New Roman"/>
          <w:sz w:val="28"/>
          <w:szCs w:val="28"/>
          <w:lang w:val="uk-UA"/>
        </w:rPr>
        <w:t>8</w:t>
      </w:r>
      <w:r w:rsidR="00B77C19" w:rsidRPr="00155220">
        <w:rPr>
          <w:rFonts w:ascii="Times New Roman" w:hAnsi="Times New Roman" w:cs="Times New Roman"/>
          <w:sz w:val="28"/>
          <w:szCs w:val="28"/>
          <w:lang w:val="uk-UA"/>
        </w:rPr>
        <w:t>)</w:t>
      </w:r>
      <w:r w:rsidR="00BE7D76" w:rsidRPr="00155220">
        <w:rPr>
          <w:rFonts w:ascii="Times New Roman" w:hAnsi="Times New Roman" w:cs="Times New Roman"/>
          <w:sz w:val="28"/>
          <w:szCs w:val="28"/>
          <w:lang w:val="uk-UA"/>
        </w:rPr>
        <w:t xml:space="preserve"> </w:t>
      </w:r>
    </w:p>
    <w:p w:rsidR="00A147BB" w:rsidRPr="00155220" w:rsidRDefault="00A147BB" w:rsidP="00EF7107">
      <w:pPr>
        <w:numPr>
          <w:ilvl w:val="0"/>
          <w:numId w:val="3"/>
        </w:numPr>
        <w:tabs>
          <w:tab w:val="left" w:pos="851"/>
        </w:tabs>
        <w:spacing w:after="0" w:line="360" w:lineRule="auto"/>
        <w:ind w:left="0" w:firstLine="567"/>
        <w:jc w:val="both"/>
        <w:rPr>
          <w:rFonts w:ascii="Times New Roman" w:hAnsi="Times New Roman" w:cs="Times New Roman"/>
          <w:sz w:val="28"/>
          <w:szCs w:val="28"/>
          <w:lang w:val="uk-UA"/>
        </w:rPr>
      </w:pPr>
      <w:r w:rsidRPr="00155220">
        <w:rPr>
          <w:rFonts w:ascii="Times New Roman" w:hAnsi="Times New Roman" w:cs="Times New Roman"/>
          <w:sz w:val="28"/>
          <w:szCs w:val="28"/>
          <w:lang w:val="uk-UA"/>
        </w:rPr>
        <w:t xml:space="preserve">Дем’янишин В. Податковий механізм формування доходів бюджету: концептуальні засади теорії та напрями модернізації. </w:t>
      </w:r>
      <w:r w:rsidRPr="00155220">
        <w:rPr>
          <w:rFonts w:ascii="Times New Roman" w:hAnsi="Times New Roman" w:cs="Times New Roman"/>
          <w:i/>
          <w:sz w:val="28"/>
          <w:szCs w:val="28"/>
          <w:lang w:val="uk-UA"/>
        </w:rPr>
        <w:t>Світ фінансів</w:t>
      </w:r>
      <w:r w:rsidRPr="00155220">
        <w:rPr>
          <w:rFonts w:ascii="Times New Roman" w:hAnsi="Times New Roman" w:cs="Times New Roman"/>
          <w:sz w:val="28"/>
          <w:szCs w:val="28"/>
          <w:lang w:val="uk-UA"/>
        </w:rPr>
        <w:t>. 2017. Випуск 2 (17). С. 84-96.</w:t>
      </w:r>
    </w:p>
    <w:p w:rsidR="002B2CFF" w:rsidRPr="00AE525F" w:rsidRDefault="00A147BB" w:rsidP="00EF7107">
      <w:pPr>
        <w:pStyle w:val="a3"/>
        <w:numPr>
          <w:ilvl w:val="0"/>
          <w:numId w:val="3"/>
        </w:numPr>
        <w:tabs>
          <w:tab w:val="left" w:pos="851"/>
        </w:tabs>
        <w:autoSpaceDE w:val="0"/>
        <w:autoSpaceDN w:val="0"/>
        <w:adjustRightInd w:val="0"/>
        <w:spacing w:line="360" w:lineRule="auto"/>
        <w:ind w:left="0" w:firstLine="567"/>
        <w:jc w:val="both"/>
        <w:rPr>
          <w:rFonts w:eastAsia="TimesNewRoman"/>
          <w:sz w:val="28"/>
          <w:szCs w:val="28"/>
          <w:lang w:val="uk-UA"/>
        </w:rPr>
      </w:pPr>
      <w:r w:rsidRPr="00AE525F">
        <w:rPr>
          <w:sz w:val="28"/>
          <w:szCs w:val="28"/>
          <w:lang w:val="uk-UA"/>
        </w:rPr>
        <w:t xml:space="preserve">Затонацька Т., Ткаченко О. Прагматика оцінювання фіскального простору в Україні. </w:t>
      </w:r>
      <w:r w:rsidRPr="00AE525F">
        <w:rPr>
          <w:i/>
          <w:sz w:val="28"/>
          <w:szCs w:val="28"/>
          <w:lang w:val="uk-UA"/>
        </w:rPr>
        <w:t>Світ фінансів</w:t>
      </w:r>
      <w:r w:rsidRPr="00AE525F">
        <w:rPr>
          <w:sz w:val="28"/>
          <w:szCs w:val="28"/>
          <w:lang w:val="uk-UA"/>
        </w:rPr>
        <w:t>. 2017. Випуск 2 (17). С. 97-107.</w:t>
      </w:r>
    </w:p>
    <w:p w:rsidR="00155220" w:rsidRPr="00155220" w:rsidRDefault="002B2CFF" w:rsidP="00EF7107">
      <w:pPr>
        <w:pStyle w:val="a3"/>
        <w:numPr>
          <w:ilvl w:val="0"/>
          <w:numId w:val="3"/>
        </w:numPr>
        <w:tabs>
          <w:tab w:val="left" w:pos="851"/>
        </w:tabs>
        <w:autoSpaceDE w:val="0"/>
        <w:autoSpaceDN w:val="0"/>
        <w:adjustRightInd w:val="0"/>
        <w:spacing w:line="360" w:lineRule="auto"/>
        <w:ind w:left="0" w:firstLine="567"/>
        <w:jc w:val="both"/>
        <w:rPr>
          <w:rFonts w:eastAsia="TimesNewRoman"/>
          <w:sz w:val="28"/>
          <w:szCs w:val="28"/>
          <w:lang w:val="uk-UA"/>
        </w:rPr>
      </w:pPr>
      <w:r w:rsidRPr="00155220">
        <w:rPr>
          <w:sz w:val="28"/>
          <w:szCs w:val="28"/>
          <w:lang w:val="uk-UA"/>
        </w:rPr>
        <w:t>Звіти про виконання Державного і місцевих бюджеті</w:t>
      </w:r>
      <w:r w:rsidR="00B77C19" w:rsidRPr="00155220">
        <w:rPr>
          <w:sz w:val="28"/>
          <w:szCs w:val="28"/>
          <w:lang w:val="uk-UA"/>
        </w:rPr>
        <w:t xml:space="preserve">в України у 2014-2017 рр. URL: </w:t>
      </w:r>
      <w:r w:rsidR="00155220" w:rsidRPr="00155220">
        <w:rPr>
          <w:sz w:val="28"/>
          <w:szCs w:val="28"/>
        </w:rPr>
        <w:t>http://www.treasury.gov.ua/main/uk/doccatalog/list?currDir=353931</w:t>
      </w:r>
      <w:r w:rsidR="00934322" w:rsidRPr="00155220">
        <w:rPr>
          <w:sz w:val="28"/>
          <w:szCs w:val="28"/>
          <w:lang w:val="uk-UA"/>
        </w:rPr>
        <w:t xml:space="preserve"> (дата звернення: 1</w:t>
      </w:r>
      <w:r w:rsidR="00155220">
        <w:rPr>
          <w:sz w:val="28"/>
          <w:szCs w:val="28"/>
          <w:lang w:val="uk-UA"/>
        </w:rPr>
        <w:t>1</w:t>
      </w:r>
      <w:r w:rsidR="00934322" w:rsidRPr="00155220">
        <w:rPr>
          <w:sz w:val="28"/>
          <w:szCs w:val="28"/>
          <w:lang w:val="uk-UA"/>
        </w:rPr>
        <w:t>.</w:t>
      </w:r>
      <w:r w:rsidR="00155220">
        <w:rPr>
          <w:sz w:val="28"/>
          <w:szCs w:val="28"/>
          <w:lang w:val="uk-UA"/>
        </w:rPr>
        <w:t>04</w:t>
      </w:r>
      <w:r w:rsidR="00934322" w:rsidRPr="00155220">
        <w:rPr>
          <w:sz w:val="28"/>
          <w:szCs w:val="28"/>
          <w:lang w:val="uk-UA"/>
        </w:rPr>
        <w:t>. 201</w:t>
      </w:r>
      <w:r w:rsidR="00155220">
        <w:rPr>
          <w:sz w:val="28"/>
          <w:szCs w:val="28"/>
          <w:lang w:val="uk-UA"/>
        </w:rPr>
        <w:t>8</w:t>
      </w:r>
      <w:r w:rsidR="00934322" w:rsidRPr="00155220">
        <w:rPr>
          <w:sz w:val="28"/>
          <w:szCs w:val="28"/>
          <w:lang w:val="uk-UA"/>
        </w:rPr>
        <w:t xml:space="preserve">) </w:t>
      </w:r>
    </w:p>
    <w:p w:rsidR="002B2CFF" w:rsidRPr="00155220" w:rsidRDefault="002B2CFF" w:rsidP="00EF7107">
      <w:pPr>
        <w:pStyle w:val="a3"/>
        <w:numPr>
          <w:ilvl w:val="0"/>
          <w:numId w:val="3"/>
        </w:numPr>
        <w:tabs>
          <w:tab w:val="left" w:pos="851"/>
        </w:tabs>
        <w:autoSpaceDE w:val="0"/>
        <w:autoSpaceDN w:val="0"/>
        <w:adjustRightInd w:val="0"/>
        <w:spacing w:line="360" w:lineRule="auto"/>
        <w:ind w:left="0" w:firstLine="567"/>
        <w:jc w:val="both"/>
        <w:rPr>
          <w:rFonts w:eastAsia="TimesNewRoman"/>
          <w:sz w:val="28"/>
          <w:szCs w:val="28"/>
          <w:lang w:val="uk-UA"/>
        </w:rPr>
      </w:pPr>
      <w:r w:rsidRPr="00155220">
        <w:rPr>
          <w:sz w:val="28"/>
          <w:szCs w:val="28"/>
          <w:lang w:val="uk-UA"/>
        </w:rPr>
        <w:t xml:space="preserve">Лісовська Л. Фінансове підґрунтя місцевого самоврядування в Україні: стан та перспективи розвитку. </w:t>
      </w:r>
      <w:r w:rsidRPr="00155220">
        <w:rPr>
          <w:i/>
          <w:sz w:val="28"/>
          <w:szCs w:val="28"/>
          <w:lang w:val="uk-UA"/>
        </w:rPr>
        <w:t>Світ фінансів</w:t>
      </w:r>
      <w:r w:rsidRPr="00155220">
        <w:rPr>
          <w:sz w:val="28"/>
          <w:szCs w:val="28"/>
          <w:lang w:val="uk-UA"/>
        </w:rPr>
        <w:t>. 2012. № 2. С. 91-97.</w:t>
      </w:r>
    </w:p>
    <w:p w:rsidR="00820ACA" w:rsidRPr="00820ACA" w:rsidRDefault="00A147BB" w:rsidP="00EF7107">
      <w:pPr>
        <w:numPr>
          <w:ilvl w:val="0"/>
          <w:numId w:val="3"/>
        </w:numPr>
        <w:tabs>
          <w:tab w:val="left" w:pos="851"/>
        </w:tabs>
        <w:spacing w:after="0" w:line="360" w:lineRule="auto"/>
        <w:ind w:left="0" w:firstLine="567"/>
        <w:jc w:val="both"/>
        <w:rPr>
          <w:rFonts w:ascii="Times New Roman" w:hAnsi="Times New Roman" w:cs="Times New Roman"/>
          <w:sz w:val="28"/>
          <w:szCs w:val="28"/>
          <w:lang w:val="uk-UA"/>
        </w:rPr>
      </w:pPr>
      <w:r w:rsidRPr="00820ACA">
        <w:rPr>
          <w:rFonts w:ascii="Times New Roman" w:hAnsi="Times New Roman" w:cs="Times New Roman"/>
          <w:sz w:val="28"/>
          <w:szCs w:val="28"/>
          <w:lang w:val="uk-UA"/>
        </w:rPr>
        <w:lastRenderedPageBreak/>
        <w:t>Молдован О.</w:t>
      </w:r>
      <w:r w:rsidR="00EF7107" w:rsidRPr="00820ACA">
        <w:rPr>
          <w:rFonts w:ascii="Times New Roman" w:hAnsi="Times New Roman" w:cs="Times New Roman"/>
          <w:sz w:val="28"/>
          <w:szCs w:val="28"/>
          <w:lang w:val="uk-UA"/>
        </w:rPr>
        <w:t> </w:t>
      </w:r>
      <w:r w:rsidRPr="00820ACA">
        <w:rPr>
          <w:rFonts w:ascii="Times New Roman" w:hAnsi="Times New Roman" w:cs="Times New Roman"/>
          <w:sz w:val="28"/>
          <w:szCs w:val="28"/>
          <w:lang w:val="uk-UA"/>
        </w:rPr>
        <w:t>О. Новий Бюджетний кодекс України: ризики та можливості</w:t>
      </w:r>
      <w:r w:rsidR="007B70E8" w:rsidRPr="00820ACA">
        <w:rPr>
          <w:rFonts w:ascii="Times New Roman" w:hAnsi="Times New Roman" w:cs="Times New Roman"/>
          <w:sz w:val="28"/>
          <w:szCs w:val="28"/>
          <w:lang w:val="uk-UA"/>
        </w:rPr>
        <w:t xml:space="preserve"> для економічного зростання.</w:t>
      </w:r>
      <w:r w:rsidRPr="00820ACA">
        <w:rPr>
          <w:rFonts w:ascii="Times New Roman" w:hAnsi="Times New Roman" w:cs="Times New Roman"/>
          <w:sz w:val="28"/>
          <w:szCs w:val="28"/>
          <w:lang w:val="uk-UA"/>
        </w:rPr>
        <w:t xml:space="preserve"> 2011</w:t>
      </w:r>
      <w:r w:rsidR="007B70E8" w:rsidRPr="00820ACA">
        <w:rPr>
          <w:rFonts w:ascii="Times New Roman" w:hAnsi="Times New Roman" w:cs="Times New Roman"/>
          <w:sz w:val="28"/>
          <w:szCs w:val="28"/>
          <w:lang w:val="uk-UA"/>
        </w:rPr>
        <w:t>.</w:t>
      </w:r>
      <w:r w:rsidRPr="00820ACA">
        <w:rPr>
          <w:rFonts w:ascii="Times New Roman" w:hAnsi="Times New Roman" w:cs="Times New Roman"/>
          <w:sz w:val="28"/>
          <w:szCs w:val="28"/>
          <w:lang w:val="uk-UA"/>
        </w:rPr>
        <w:t xml:space="preserve"> URL: http://</w:t>
      </w:r>
      <w:r w:rsidR="00820ACA" w:rsidRPr="00820ACA">
        <w:t xml:space="preserve"> </w:t>
      </w:r>
      <w:hyperlink r:id="rId9" w:history="1">
        <w:r w:rsidR="00820ACA" w:rsidRPr="00820ACA">
          <w:rPr>
            <w:rStyle w:val="ab"/>
            <w:rFonts w:ascii="Times New Roman" w:hAnsi="Times New Roman" w:cs="Times New Roman"/>
            <w:color w:val="auto"/>
            <w:sz w:val="28"/>
            <w:szCs w:val="28"/>
            <w:u w:val="none"/>
            <w:lang w:val="uk-UA"/>
          </w:rPr>
          <w:t>http://jbsec.donnu.edu.ua/article/view/4590</w:t>
        </w:r>
      </w:hyperlink>
      <w:r w:rsidR="00820ACA" w:rsidRPr="00820ACA">
        <w:rPr>
          <w:rFonts w:ascii="Times New Roman" w:hAnsi="Times New Roman" w:cs="Times New Roman"/>
          <w:sz w:val="28"/>
          <w:szCs w:val="28"/>
          <w:lang w:val="uk-UA"/>
        </w:rPr>
        <w:t xml:space="preserve"> </w:t>
      </w:r>
      <w:r w:rsidR="00B77C19" w:rsidRPr="00820ACA">
        <w:rPr>
          <w:sz w:val="28"/>
          <w:szCs w:val="28"/>
          <w:lang w:val="uk-UA"/>
        </w:rPr>
        <w:t>(</w:t>
      </w:r>
      <w:r w:rsidR="00AE525F" w:rsidRPr="00820ACA">
        <w:rPr>
          <w:rFonts w:ascii="Times New Roman" w:hAnsi="Times New Roman" w:cs="Times New Roman"/>
          <w:sz w:val="28"/>
          <w:szCs w:val="28"/>
          <w:lang w:val="uk-UA"/>
        </w:rPr>
        <w:t>дата звернення: 1</w:t>
      </w:r>
      <w:r w:rsidR="00820ACA">
        <w:rPr>
          <w:rFonts w:ascii="Times New Roman" w:hAnsi="Times New Roman" w:cs="Times New Roman"/>
          <w:sz w:val="28"/>
          <w:szCs w:val="28"/>
          <w:lang w:val="uk-UA"/>
        </w:rPr>
        <w:t>6</w:t>
      </w:r>
      <w:r w:rsidR="00AE525F" w:rsidRPr="00820ACA">
        <w:rPr>
          <w:rFonts w:ascii="Times New Roman" w:hAnsi="Times New Roman" w:cs="Times New Roman"/>
          <w:sz w:val="28"/>
          <w:szCs w:val="28"/>
          <w:lang w:val="uk-UA"/>
        </w:rPr>
        <w:t>.1</w:t>
      </w:r>
      <w:r w:rsidR="00820ACA">
        <w:rPr>
          <w:rFonts w:ascii="Times New Roman" w:hAnsi="Times New Roman" w:cs="Times New Roman"/>
          <w:sz w:val="28"/>
          <w:szCs w:val="28"/>
          <w:lang w:val="uk-UA"/>
        </w:rPr>
        <w:t>4</w:t>
      </w:r>
      <w:r w:rsidR="00AE525F" w:rsidRPr="00820ACA">
        <w:rPr>
          <w:rFonts w:ascii="Times New Roman" w:hAnsi="Times New Roman" w:cs="Times New Roman"/>
          <w:sz w:val="28"/>
          <w:szCs w:val="28"/>
          <w:lang w:val="uk-UA"/>
        </w:rPr>
        <w:t>. 201</w:t>
      </w:r>
      <w:r w:rsidR="00820ACA">
        <w:rPr>
          <w:rFonts w:ascii="Times New Roman" w:hAnsi="Times New Roman" w:cs="Times New Roman"/>
          <w:sz w:val="28"/>
          <w:szCs w:val="28"/>
          <w:lang w:val="uk-UA"/>
        </w:rPr>
        <w:t>8</w:t>
      </w:r>
      <w:r w:rsidR="00B77C19" w:rsidRPr="00820ACA">
        <w:rPr>
          <w:sz w:val="28"/>
          <w:szCs w:val="28"/>
          <w:lang w:val="uk-UA"/>
        </w:rPr>
        <w:t>)</w:t>
      </w:r>
    </w:p>
    <w:p w:rsidR="00820ACA" w:rsidRPr="00820ACA" w:rsidRDefault="002B2CFF" w:rsidP="00EF7107">
      <w:pPr>
        <w:numPr>
          <w:ilvl w:val="0"/>
          <w:numId w:val="3"/>
        </w:numPr>
        <w:tabs>
          <w:tab w:val="left" w:pos="851"/>
        </w:tabs>
        <w:spacing w:after="0" w:line="360" w:lineRule="auto"/>
        <w:ind w:left="0" w:firstLine="567"/>
        <w:jc w:val="both"/>
        <w:rPr>
          <w:rFonts w:ascii="Times New Roman" w:hAnsi="Times New Roman" w:cs="Times New Roman"/>
          <w:sz w:val="28"/>
          <w:szCs w:val="28"/>
          <w:lang w:val="uk-UA"/>
        </w:rPr>
      </w:pPr>
      <w:r w:rsidRPr="00820ACA">
        <w:rPr>
          <w:rFonts w:ascii="Times New Roman" w:eastAsia="TimesNewRoman" w:hAnsi="Times New Roman" w:cs="Times New Roman"/>
          <w:sz w:val="28"/>
          <w:szCs w:val="28"/>
          <w:lang w:val="uk-UA"/>
        </w:rPr>
        <w:t>Податковий кодекс України: Закон України вiд 02 грудня 2010 року № 2755-VI</w:t>
      </w:r>
      <w:r w:rsidR="007B70E8" w:rsidRPr="00820ACA">
        <w:rPr>
          <w:rFonts w:ascii="Times New Roman" w:eastAsia="TimesNewRoman" w:hAnsi="Times New Roman" w:cs="Times New Roman"/>
          <w:sz w:val="28"/>
          <w:szCs w:val="28"/>
          <w:lang w:val="uk-UA"/>
        </w:rPr>
        <w:t>.</w:t>
      </w:r>
      <w:r w:rsidRPr="00820ACA">
        <w:rPr>
          <w:rFonts w:ascii="Times New Roman" w:eastAsia="TimesNewRoman" w:hAnsi="Times New Roman" w:cs="Times New Roman"/>
          <w:sz w:val="28"/>
          <w:szCs w:val="28"/>
          <w:lang w:val="uk-UA"/>
        </w:rPr>
        <w:t xml:space="preserve"> URL: </w:t>
      </w:r>
      <w:r w:rsidR="00820ACA" w:rsidRPr="00820ACA">
        <w:rPr>
          <w:rFonts w:ascii="Times New Roman" w:hAnsi="Times New Roman" w:cs="Times New Roman"/>
          <w:sz w:val="28"/>
          <w:szCs w:val="28"/>
        </w:rPr>
        <w:t>http://zakon5.rada.gov.ua/laws/show/2755-17</w:t>
      </w:r>
      <w:r w:rsidR="00BE7D76" w:rsidRPr="00820ACA">
        <w:rPr>
          <w:rStyle w:val="ab"/>
          <w:rFonts w:ascii="Times New Roman" w:eastAsia="TimesNewRoman" w:hAnsi="Times New Roman" w:cs="Times New Roman"/>
          <w:color w:val="auto"/>
          <w:sz w:val="28"/>
          <w:szCs w:val="28"/>
          <w:u w:val="none"/>
          <w:lang w:val="uk-UA"/>
        </w:rPr>
        <w:t xml:space="preserve"> </w:t>
      </w:r>
      <w:r w:rsidR="00BE7D76" w:rsidRPr="00820ACA">
        <w:rPr>
          <w:sz w:val="28"/>
          <w:szCs w:val="28"/>
          <w:lang w:val="uk-UA"/>
        </w:rPr>
        <w:t>(</w:t>
      </w:r>
      <w:r w:rsidR="00AE525F" w:rsidRPr="00820ACA">
        <w:rPr>
          <w:rFonts w:ascii="Times New Roman" w:hAnsi="Times New Roman" w:cs="Times New Roman"/>
          <w:sz w:val="28"/>
          <w:szCs w:val="28"/>
          <w:lang w:val="uk-UA"/>
        </w:rPr>
        <w:t xml:space="preserve">дата звернення: </w:t>
      </w:r>
      <w:r w:rsidR="00820ACA">
        <w:rPr>
          <w:rFonts w:ascii="Times New Roman" w:hAnsi="Times New Roman" w:cs="Times New Roman"/>
          <w:sz w:val="28"/>
          <w:szCs w:val="28"/>
          <w:lang w:val="uk-UA"/>
        </w:rPr>
        <w:t>23.05</w:t>
      </w:r>
      <w:r w:rsidR="00AE525F" w:rsidRPr="00820ACA">
        <w:rPr>
          <w:rFonts w:ascii="Times New Roman" w:hAnsi="Times New Roman" w:cs="Times New Roman"/>
          <w:sz w:val="28"/>
          <w:szCs w:val="28"/>
          <w:lang w:val="uk-UA"/>
        </w:rPr>
        <w:t>. 201</w:t>
      </w:r>
      <w:r w:rsidR="00820ACA">
        <w:rPr>
          <w:rFonts w:ascii="Times New Roman" w:hAnsi="Times New Roman" w:cs="Times New Roman"/>
          <w:sz w:val="28"/>
          <w:szCs w:val="28"/>
          <w:lang w:val="uk-UA"/>
        </w:rPr>
        <w:t>8</w:t>
      </w:r>
      <w:r w:rsidR="00BE7D76" w:rsidRPr="00820ACA">
        <w:rPr>
          <w:sz w:val="28"/>
          <w:szCs w:val="28"/>
          <w:lang w:val="uk-UA"/>
        </w:rPr>
        <w:t xml:space="preserve">) </w:t>
      </w:r>
    </w:p>
    <w:p w:rsidR="002B2CFF" w:rsidRPr="00820ACA" w:rsidRDefault="002B2CFF" w:rsidP="00EF7107">
      <w:pPr>
        <w:numPr>
          <w:ilvl w:val="0"/>
          <w:numId w:val="3"/>
        </w:numPr>
        <w:tabs>
          <w:tab w:val="left" w:pos="851"/>
        </w:tabs>
        <w:spacing w:after="0" w:line="360" w:lineRule="auto"/>
        <w:ind w:left="0" w:firstLine="567"/>
        <w:jc w:val="both"/>
        <w:rPr>
          <w:rFonts w:ascii="Times New Roman" w:hAnsi="Times New Roman" w:cs="Times New Roman"/>
          <w:sz w:val="28"/>
          <w:szCs w:val="28"/>
          <w:lang w:val="uk-UA"/>
        </w:rPr>
      </w:pPr>
      <w:r w:rsidRPr="00820ACA">
        <w:rPr>
          <w:rFonts w:ascii="Times New Roman" w:hAnsi="Times New Roman" w:cs="Times New Roman"/>
          <w:sz w:val="28"/>
          <w:szCs w:val="28"/>
          <w:lang w:val="uk-UA"/>
        </w:rPr>
        <w:t>Соколовська А.</w:t>
      </w:r>
      <w:r w:rsidR="00EF7107" w:rsidRPr="00820ACA">
        <w:rPr>
          <w:rFonts w:ascii="Times New Roman" w:hAnsi="Times New Roman" w:cs="Times New Roman"/>
          <w:sz w:val="28"/>
          <w:szCs w:val="28"/>
          <w:lang w:val="uk-UA"/>
        </w:rPr>
        <w:t> </w:t>
      </w:r>
      <w:r w:rsidRPr="00820ACA">
        <w:rPr>
          <w:rFonts w:ascii="Times New Roman" w:hAnsi="Times New Roman" w:cs="Times New Roman"/>
          <w:sz w:val="28"/>
          <w:szCs w:val="28"/>
          <w:lang w:val="uk-UA"/>
        </w:rPr>
        <w:t xml:space="preserve">М. Особливості податкової системи України та напрями її коригування. </w:t>
      </w:r>
      <w:r w:rsidRPr="00820ACA">
        <w:rPr>
          <w:rFonts w:ascii="Times New Roman" w:hAnsi="Times New Roman" w:cs="Times New Roman"/>
          <w:i/>
          <w:sz w:val="28"/>
          <w:szCs w:val="28"/>
          <w:lang w:val="uk-UA"/>
        </w:rPr>
        <w:t>Фінанси України</w:t>
      </w:r>
      <w:r w:rsidRPr="00820ACA">
        <w:rPr>
          <w:rFonts w:ascii="Times New Roman" w:hAnsi="Times New Roman" w:cs="Times New Roman"/>
          <w:sz w:val="28"/>
          <w:szCs w:val="28"/>
          <w:lang w:val="uk-UA"/>
        </w:rPr>
        <w:t>. 2013. № 9. С. 28-44.</w:t>
      </w:r>
    </w:p>
    <w:p w:rsidR="00FE4717" w:rsidRPr="00AE525F" w:rsidRDefault="002B2CFF" w:rsidP="00EF7107">
      <w:pPr>
        <w:numPr>
          <w:ilvl w:val="0"/>
          <w:numId w:val="3"/>
        </w:numPr>
        <w:tabs>
          <w:tab w:val="left" w:pos="851"/>
        </w:tabs>
        <w:spacing w:after="0" w:line="360" w:lineRule="auto"/>
        <w:ind w:left="0" w:firstLine="567"/>
        <w:jc w:val="both"/>
        <w:rPr>
          <w:rFonts w:ascii="Times New Roman" w:hAnsi="Times New Roman" w:cs="Times New Roman"/>
          <w:sz w:val="28"/>
          <w:szCs w:val="28"/>
          <w:lang w:val="uk-UA"/>
        </w:rPr>
      </w:pPr>
      <w:r w:rsidRPr="00AE525F">
        <w:rPr>
          <w:rFonts w:ascii="Times New Roman" w:hAnsi="Times New Roman" w:cs="Times New Roman"/>
          <w:sz w:val="28"/>
          <w:szCs w:val="28"/>
          <w:lang w:val="uk-UA"/>
        </w:rPr>
        <w:t xml:space="preserve">Фіскальний простір сталого соціально-економічного розвитку держави: </w:t>
      </w:r>
      <w:r w:rsidR="007B70E8" w:rsidRPr="00AE525F">
        <w:rPr>
          <w:rFonts w:ascii="Times New Roman" w:hAnsi="Times New Roman" w:cs="Times New Roman"/>
          <w:sz w:val="28"/>
          <w:szCs w:val="28"/>
          <w:lang w:val="uk-UA"/>
        </w:rPr>
        <w:t>м</w:t>
      </w:r>
      <w:r w:rsidRPr="00AE525F">
        <w:rPr>
          <w:rFonts w:ascii="Times New Roman" w:hAnsi="Times New Roman" w:cs="Times New Roman"/>
          <w:sz w:val="28"/>
          <w:szCs w:val="28"/>
          <w:lang w:val="uk-UA"/>
        </w:rPr>
        <w:t xml:space="preserve">онографія / </w:t>
      </w:r>
      <w:r w:rsidR="007B70E8" w:rsidRPr="00AE525F">
        <w:rPr>
          <w:rFonts w:ascii="Times New Roman" w:hAnsi="Times New Roman" w:cs="Times New Roman"/>
          <w:sz w:val="28"/>
          <w:szCs w:val="28"/>
          <w:lang w:val="uk-UA"/>
        </w:rPr>
        <w:t>з</w:t>
      </w:r>
      <w:r w:rsidRPr="00AE525F">
        <w:rPr>
          <w:rFonts w:ascii="Times New Roman" w:hAnsi="Times New Roman" w:cs="Times New Roman"/>
          <w:sz w:val="28"/>
          <w:szCs w:val="28"/>
          <w:lang w:val="uk-UA"/>
        </w:rPr>
        <w:t>а ред. д.е.н., проф. А.</w:t>
      </w:r>
      <w:r w:rsidR="00B5052C" w:rsidRPr="00AE525F">
        <w:rPr>
          <w:rFonts w:ascii="Times New Roman" w:hAnsi="Times New Roman" w:cs="Times New Roman"/>
          <w:sz w:val="28"/>
          <w:szCs w:val="28"/>
          <w:lang w:val="uk-UA"/>
        </w:rPr>
        <w:t> </w:t>
      </w:r>
      <w:r w:rsidRPr="00AE525F">
        <w:rPr>
          <w:rFonts w:ascii="Times New Roman" w:hAnsi="Times New Roman" w:cs="Times New Roman"/>
          <w:sz w:val="28"/>
          <w:szCs w:val="28"/>
          <w:lang w:val="uk-UA"/>
        </w:rPr>
        <w:t>І. Крисоватого. Тернопіль: ТНЕУ, 2016. 332 с.</w:t>
      </w:r>
    </w:p>
    <w:p w:rsidR="00232E97" w:rsidRDefault="00232E97" w:rsidP="00232E97">
      <w:pPr>
        <w:pStyle w:val="a3"/>
        <w:tabs>
          <w:tab w:val="left" w:pos="142"/>
        </w:tabs>
        <w:ind w:left="1069"/>
        <w:jc w:val="center"/>
        <w:rPr>
          <w:b/>
          <w:sz w:val="28"/>
          <w:szCs w:val="28"/>
          <w:lang w:val="uk-UA"/>
        </w:rPr>
      </w:pPr>
      <w:r w:rsidRPr="00AE525F">
        <w:rPr>
          <w:b/>
          <w:sz w:val="28"/>
          <w:szCs w:val="28"/>
          <w:lang w:val="uk-UA"/>
        </w:rPr>
        <w:t>Анотація</w:t>
      </w:r>
    </w:p>
    <w:p w:rsidR="00B665FF" w:rsidRPr="00AE525F" w:rsidRDefault="00B665FF" w:rsidP="00232E97">
      <w:pPr>
        <w:pStyle w:val="a3"/>
        <w:tabs>
          <w:tab w:val="left" w:pos="142"/>
        </w:tabs>
        <w:ind w:left="1069"/>
        <w:jc w:val="center"/>
        <w:rPr>
          <w:b/>
          <w:sz w:val="28"/>
          <w:szCs w:val="28"/>
          <w:lang w:val="uk-UA"/>
        </w:rPr>
      </w:pPr>
      <w:bookmarkStart w:id="0" w:name="_GoBack"/>
      <w:bookmarkEnd w:id="0"/>
    </w:p>
    <w:p w:rsidR="00232E97" w:rsidRPr="00AE525F" w:rsidRDefault="00232E97" w:rsidP="00232E97">
      <w:pPr>
        <w:autoSpaceDE w:val="0"/>
        <w:autoSpaceDN w:val="0"/>
        <w:adjustRightInd w:val="0"/>
        <w:spacing w:after="0" w:line="240" w:lineRule="auto"/>
        <w:ind w:firstLine="709"/>
        <w:contextualSpacing/>
        <w:rPr>
          <w:rFonts w:ascii="Times New Roman" w:hAnsi="Times New Roman"/>
          <w:b/>
          <w:sz w:val="28"/>
          <w:szCs w:val="28"/>
          <w:lang w:val="uk-UA"/>
        </w:rPr>
      </w:pPr>
      <w:r w:rsidRPr="00AE525F">
        <w:rPr>
          <w:rFonts w:ascii="Times New Roman" w:hAnsi="Times New Roman"/>
          <w:b/>
          <w:sz w:val="28"/>
          <w:szCs w:val="28"/>
          <w:lang w:val="uk-UA"/>
        </w:rPr>
        <w:t>Сидор І. П., Корнацька Р. М.</w:t>
      </w:r>
    </w:p>
    <w:p w:rsidR="00232E97" w:rsidRPr="00AE525F" w:rsidRDefault="00232E97" w:rsidP="00232E97">
      <w:pPr>
        <w:autoSpaceDE w:val="0"/>
        <w:autoSpaceDN w:val="0"/>
        <w:adjustRightInd w:val="0"/>
        <w:spacing w:after="0" w:line="240" w:lineRule="auto"/>
        <w:ind w:firstLine="708"/>
        <w:jc w:val="both"/>
        <w:rPr>
          <w:rFonts w:ascii="Times New Roman" w:hAnsi="Times New Roman" w:cs="Times New Roman"/>
          <w:b/>
          <w:bCs/>
          <w:sz w:val="28"/>
          <w:szCs w:val="28"/>
          <w:lang w:val="uk-UA"/>
        </w:rPr>
      </w:pPr>
      <w:r w:rsidRPr="00AE525F">
        <w:rPr>
          <w:rFonts w:ascii="Times New Roman" w:hAnsi="Times New Roman" w:cs="Times New Roman"/>
          <w:b/>
          <w:bCs/>
          <w:sz w:val="28"/>
          <w:szCs w:val="28"/>
          <w:lang w:val="uk-UA"/>
        </w:rPr>
        <w:t>ЗАГАЛЬНОДЕРЖАВНІ ПОДАТКИ І ЗБОРИ В КОНТЕКСТІ НАПОВНЕННЯ МІСЦЕВИХ БЮДЖЕТІВ: РЕАЛІЇ ВІТЧИЗНЯНОЇ ПРАКТИКИ</w:t>
      </w:r>
    </w:p>
    <w:p w:rsidR="00EB06DF" w:rsidRPr="00AE525F" w:rsidRDefault="00232E97" w:rsidP="00EB06DF">
      <w:pPr>
        <w:spacing w:after="0" w:line="240" w:lineRule="auto"/>
        <w:ind w:firstLine="708"/>
        <w:jc w:val="both"/>
        <w:rPr>
          <w:rFonts w:ascii="Times New Roman" w:hAnsi="Times New Roman" w:cs="Times New Roman"/>
          <w:sz w:val="28"/>
          <w:szCs w:val="28"/>
          <w:lang w:val="uk-UA"/>
        </w:rPr>
      </w:pPr>
      <w:r w:rsidRPr="00AE525F">
        <w:rPr>
          <w:rFonts w:ascii="Times New Roman" w:hAnsi="Times New Roman" w:cs="Times New Roman"/>
          <w:b/>
          <w:sz w:val="28"/>
          <w:szCs w:val="28"/>
          <w:lang w:val="uk-UA"/>
        </w:rPr>
        <w:t xml:space="preserve">Мета. </w:t>
      </w:r>
      <w:r w:rsidR="00EB06DF" w:rsidRPr="00AE525F">
        <w:rPr>
          <w:rFonts w:ascii="Times New Roman" w:hAnsi="Times New Roman" w:cs="Times New Roman"/>
          <w:sz w:val="28"/>
          <w:szCs w:val="28"/>
          <w:lang w:val="uk-UA"/>
        </w:rPr>
        <w:t>Здійснити комплексний аналіз вітчизняної практики формування дохідної частини місцевих бюджетів за рахунок загальнодержавних податків і зборів, виявити недоліки та можливі резерви зростання надходжень.</w:t>
      </w:r>
    </w:p>
    <w:p w:rsidR="00232E97" w:rsidRPr="00AE525F" w:rsidRDefault="00232E97" w:rsidP="00EB06DF">
      <w:pPr>
        <w:pStyle w:val="ac"/>
        <w:spacing w:before="0" w:beforeAutospacing="0" w:after="0" w:afterAutospacing="0"/>
        <w:ind w:firstLine="709"/>
        <w:jc w:val="both"/>
        <w:rPr>
          <w:b/>
          <w:sz w:val="28"/>
          <w:szCs w:val="28"/>
        </w:rPr>
      </w:pPr>
      <w:r w:rsidRPr="00AE525F">
        <w:rPr>
          <w:b/>
          <w:color w:val="000000"/>
          <w:sz w:val="28"/>
          <w:szCs w:val="28"/>
        </w:rPr>
        <w:t xml:space="preserve">Методика дослідження. </w:t>
      </w:r>
      <w:r w:rsidRPr="00AE525F">
        <w:rPr>
          <w:color w:val="000000"/>
          <w:sz w:val="28"/>
          <w:szCs w:val="28"/>
        </w:rPr>
        <w:t>В процесі дослідження використані методи загальнонаукових та емпіричних прийомів економічної науки, що ґрунтуються на системному підході</w:t>
      </w:r>
      <w:r w:rsidR="00837B51" w:rsidRPr="00AE525F">
        <w:rPr>
          <w:color w:val="000000"/>
          <w:sz w:val="28"/>
          <w:szCs w:val="28"/>
        </w:rPr>
        <w:t xml:space="preserve">, </w:t>
      </w:r>
      <w:r w:rsidR="00837B51" w:rsidRPr="00820ACA">
        <w:rPr>
          <w:sz w:val="28"/>
          <w:szCs w:val="28"/>
        </w:rPr>
        <w:t>зокрема:</w:t>
      </w:r>
      <w:r w:rsidRPr="00AE525F">
        <w:rPr>
          <w:color w:val="000000"/>
          <w:sz w:val="28"/>
          <w:szCs w:val="28"/>
        </w:rPr>
        <w:t xml:space="preserve"> методи наукового пізнання: діалектичний і логічний, аналізу та синтезу, узагальнення, графічного, статистичного аналізу – в процесі оцінювання </w:t>
      </w:r>
      <w:r w:rsidR="00EB06DF" w:rsidRPr="00AE525F">
        <w:rPr>
          <w:color w:val="000000"/>
          <w:sz w:val="28"/>
          <w:szCs w:val="28"/>
        </w:rPr>
        <w:t>загальнодержавних податків і зборів в системі доходів місцевих бюджетів</w:t>
      </w:r>
      <w:r w:rsidRPr="00AE525F">
        <w:rPr>
          <w:color w:val="000000"/>
          <w:sz w:val="28"/>
          <w:szCs w:val="28"/>
        </w:rPr>
        <w:t xml:space="preserve">, наукового абстрагування – при розробленні пропозицій щодо </w:t>
      </w:r>
      <w:r w:rsidR="00EB06DF" w:rsidRPr="00AE525F">
        <w:rPr>
          <w:color w:val="000000"/>
          <w:sz w:val="28"/>
          <w:szCs w:val="28"/>
        </w:rPr>
        <w:t>пошуку резервів зростання податкових надходжень місцевих бюджетів</w:t>
      </w:r>
      <w:r w:rsidRPr="00AE525F">
        <w:rPr>
          <w:color w:val="000000"/>
          <w:sz w:val="28"/>
          <w:szCs w:val="28"/>
        </w:rPr>
        <w:t xml:space="preserve">. </w:t>
      </w:r>
    </w:p>
    <w:p w:rsidR="00EB06DF" w:rsidRPr="00AE525F" w:rsidRDefault="00232E97" w:rsidP="00EB06DF">
      <w:pPr>
        <w:pStyle w:val="a3"/>
        <w:ind w:left="0" w:firstLine="709"/>
        <w:jc w:val="both"/>
        <w:rPr>
          <w:sz w:val="28"/>
          <w:szCs w:val="28"/>
          <w:lang w:val="uk-UA"/>
        </w:rPr>
      </w:pPr>
      <w:r w:rsidRPr="00AE525F">
        <w:rPr>
          <w:b/>
          <w:sz w:val="28"/>
          <w:szCs w:val="28"/>
          <w:lang w:val="uk-UA"/>
        </w:rPr>
        <w:t>Результати дослідження.</w:t>
      </w:r>
      <w:r w:rsidRPr="00AE525F">
        <w:rPr>
          <w:sz w:val="28"/>
          <w:szCs w:val="28"/>
          <w:lang w:val="uk-UA"/>
        </w:rPr>
        <w:t xml:space="preserve"> </w:t>
      </w:r>
      <w:r w:rsidR="00837B51" w:rsidRPr="00820ACA">
        <w:rPr>
          <w:sz w:val="28"/>
          <w:szCs w:val="28"/>
          <w:lang w:val="uk-UA"/>
        </w:rPr>
        <w:t>Проведено аналіз і виявлено тенденції</w:t>
      </w:r>
      <w:r w:rsidRPr="00820ACA">
        <w:rPr>
          <w:sz w:val="28"/>
          <w:szCs w:val="28"/>
          <w:lang w:val="uk-UA"/>
        </w:rPr>
        <w:t xml:space="preserve"> </w:t>
      </w:r>
      <w:r w:rsidR="00EB06DF" w:rsidRPr="00820ACA">
        <w:rPr>
          <w:sz w:val="28"/>
          <w:szCs w:val="28"/>
          <w:lang w:val="uk-UA"/>
        </w:rPr>
        <w:t>щодо формування доходів місцевих бюджетів</w:t>
      </w:r>
      <w:r w:rsidR="00837B51" w:rsidRPr="00820ACA">
        <w:rPr>
          <w:sz w:val="28"/>
          <w:szCs w:val="28"/>
          <w:lang w:val="uk-UA"/>
        </w:rPr>
        <w:t>. Встановлено</w:t>
      </w:r>
      <w:r w:rsidRPr="00AE525F">
        <w:rPr>
          <w:sz w:val="28"/>
          <w:szCs w:val="28"/>
          <w:lang w:val="uk-UA"/>
        </w:rPr>
        <w:t xml:space="preserve">, що </w:t>
      </w:r>
      <w:r w:rsidR="00EB06DF" w:rsidRPr="00AE525F">
        <w:rPr>
          <w:sz w:val="28"/>
          <w:szCs w:val="28"/>
          <w:lang w:val="uk-UA"/>
        </w:rPr>
        <w:t>основу формування податкових надходжень місцевих бюджетів складають загальнодержавні податки і збори, які виступають основою для виконання місцевими органами влади делегованих повноважень</w:t>
      </w:r>
      <w:r w:rsidR="006919AE" w:rsidRPr="00AE525F">
        <w:rPr>
          <w:sz w:val="28"/>
          <w:szCs w:val="28"/>
          <w:lang w:val="uk-UA"/>
        </w:rPr>
        <w:t xml:space="preserve">. </w:t>
      </w:r>
      <w:r w:rsidR="006919AE" w:rsidRPr="00820ACA">
        <w:rPr>
          <w:sz w:val="28"/>
          <w:szCs w:val="28"/>
          <w:lang w:val="uk-UA"/>
        </w:rPr>
        <w:t>Ви</w:t>
      </w:r>
      <w:r w:rsidR="00837B51" w:rsidRPr="00820ACA">
        <w:rPr>
          <w:sz w:val="28"/>
          <w:szCs w:val="28"/>
          <w:lang w:val="uk-UA"/>
        </w:rPr>
        <w:t>знач</w:t>
      </w:r>
      <w:r w:rsidR="006919AE" w:rsidRPr="00820ACA">
        <w:rPr>
          <w:sz w:val="28"/>
          <w:szCs w:val="28"/>
          <w:lang w:val="uk-UA"/>
        </w:rPr>
        <w:t>ено</w:t>
      </w:r>
      <w:r w:rsidR="006919AE" w:rsidRPr="00AE525F">
        <w:rPr>
          <w:sz w:val="28"/>
          <w:szCs w:val="28"/>
          <w:lang w:val="uk-UA"/>
        </w:rPr>
        <w:t xml:space="preserve"> недоліки вітчизняної практики справляння податкових платежів та можливі резерви їх зростання</w:t>
      </w:r>
      <w:r w:rsidR="00FB5F27" w:rsidRPr="00AE525F">
        <w:rPr>
          <w:sz w:val="28"/>
          <w:szCs w:val="28"/>
          <w:lang w:val="uk-UA"/>
        </w:rPr>
        <w:t>, зокрема в частині надходження ПДФО</w:t>
      </w:r>
      <w:r w:rsidR="006919AE" w:rsidRPr="00AE525F">
        <w:rPr>
          <w:sz w:val="28"/>
          <w:szCs w:val="28"/>
          <w:lang w:val="uk-UA"/>
        </w:rPr>
        <w:t>.</w:t>
      </w:r>
      <w:r w:rsidR="00FB5F27" w:rsidRPr="00AE525F">
        <w:rPr>
          <w:sz w:val="28"/>
          <w:szCs w:val="28"/>
          <w:lang w:val="uk-UA"/>
        </w:rPr>
        <w:t xml:space="preserve"> Обґрунтовано необхідність посилення контролю за справлянням податкових платежів до місцевих бюджетів України.</w:t>
      </w:r>
    </w:p>
    <w:p w:rsidR="006919AE" w:rsidRPr="00AE525F" w:rsidRDefault="00232E97" w:rsidP="00232E97">
      <w:pPr>
        <w:spacing w:after="0" w:line="240" w:lineRule="auto"/>
        <w:ind w:firstLine="709"/>
        <w:jc w:val="both"/>
        <w:rPr>
          <w:rFonts w:ascii="Times New Roman" w:hAnsi="Times New Roman"/>
          <w:sz w:val="28"/>
          <w:szCs w:val="28"/>
          <w:lang w:val="uk-UA"/>
        </w:rPr>
      </w:pPr>
      <w:r w:rsidRPr="00AE525F">
        <w:rPr>
          <w:rFonts w:ascii="Times New Roman" w:hAnsi="Times New Roman"/>
          <w:b/>
          <w:sz w:val="28"/>
          <w:szCs w:val="28"/>
          <w:lang w:val="uk-UA"/>
        </w:rPr>
        <w:t xml:space="preserve">Наукова новизна результатів дослідження. </w:t>
      </w:r>
      <w:r w:rsidR="00837B51" w:rsidRPr="00820ACA">
        <w:rPr>
          <w:rFonts w:ascii="Times New Roman" w:hAnsi="Times New Roman"/>
          <w:bCs/>
          <w:sz w:val="28"/>
          <w:szCs w:val="28"/>
          <w:lang w:val="uk-UA"/>
        </w:rPr>
        <w:t>Здійснено</w:t>
      </w:r>
      <w:r w:rsidR="00837B51" w:rsidRPr="00AE525F">
        <w:rPr>
          <w:rFonts w:ascii="Times New Roman" w:hAnsi="Times New Roman"/>
          <w:b/>
          <w:sz w:val="28"/>
          <w:szCs w:val="28"/>
          <w:lang w:val="uk-UA"/>
        </w:rPr>
        <w:t xml:space="preserve"> </w:t>
      </w:r>
      <w:r w:rsidR="00837B51" w:rsidRPr="00AE525F">
        <w:rPr>
          <w:rFonts w:ascii="Times New Roman" w:hAnsi="Times New Roman"/>
          <w:sz w:val="28"/>
          <w:szCs w:val="28"/>
          <w:lang w:val="uk-UA"/>
        </w:rPr>
        <w:t>к</w:t>
      </w:r>
      <w:r w:rsidR="006919AE" w:rsidRPr="00AE525F">
        <w:rPr>
          <w:rFonts w:ascii="Times New Roman" w:hAnsi="Times New Roman"/>
          <w:sz w:val="28"/>
          <w:szCs w:val="28"/>
          <w:lang w:val="uk-UA"/>
        </w:rPr>
        <w:t>омплексний аналіз справляння загальнодержавних податків і зборів до місцевих бюджетів</w:t>
      </w:r>
      <w:r w:rsidR="004D5F7A" w:rsidRPr="00AE525F">
        <w:rPr>
          <w:rFonts w:ascii="Times New Roman" w:hAnsi="Times New Roman"/>
          <w:sz w:val="28"/>
          <w:szCs w:val="28"/>
          <w:lang w:val="uk-UA"/>
        </w:rPr>
        <w:t xml:space="preserve">, </w:t>
      </w:r>
      <w:r w:rsidR="004D5F7A" w:rsidRPr="00820ACA">
        <w:rPr>
          <w:rFonts w:ascii="Times New Roman" w:hAnsi="Times New Roman"/>
          <w:sz w:val="28"/>
          <w:szCs w:val="28"/>
          <w:lang w:val="uk-UA"/>
        </w:rPr>
        <w:t>який сприяв</w:t>
      </w:r>
      <w:r w:rsidR="006919AE" w:rsidRPr="00AE525F">
        <w:rPr>
          <w:rFonts w:ascii="Times New Roman" w:hAnsi="Times New Roman"/>
          <w:sz w:val="28"/>
          <w:szCs w:val="28"/>
          <w:lang w:val="uk-UA"/>
        </w:rPr>
        <w:t xml:space="preserve"> </w:t>
      </w:r>
      <w:r w:rsidR="004D5F7A" w:rsidRPr="00AE525F">
        <w:rPr>
          <w:rFonts w:ascii="Times New Roman" w:hAnsi="Times New Roman"/>
          <w:sz w:val="28"/>
          <w:szCs w:val="28"/>
          <w:lang w:val="uk-UA"/>
        </w:rPr>
        <w:t>виявленню недоліків</w:t>
      </w:r>
      <w:r w:rsidR="006919AE" w:rsidRPr="00AE525F">
        <w:rPr>
          <w:rFonts w:ascii="Times New Roman" w:hAnsi="Times New Roman"/>
          <w:sz w:val="28"/>
          <w:szCs w:val="28"/>
          <w:lang w:val="uk-UA"/>
        </w:rPr>
        <w:t xml:space="preserve"> вітчизняної практики. </w:t>
      </w:r>
      <w:r w:rsidRPr="00AE525F">
        <w:rPr>
          <w:rFonts w:ascii="Times New Roman" w:hAnsi="Times New Roman"/>
          <w:sz w:val="28"/>
          <w:szCs w:val="28"/>
          <w:lang w:val="uk-UA"/>
        </w:rPr>
        <w:t>Удосконалено</w:t>
      </w:r>
      <w:r w:rsidRPr="00AE525F">
        <w:rPr>
          <w:rFonts w:ascii="Times New Roman" w:hAnsi="Times New Roman"/>
          <w:b/>
          <w:sz w:val="28"/>
          <w:szCs w:val="28"/>
          <w:lang w:val="uk-UA"/>
        </w:rPr>
        <w:t xml:space="preserve"> </w:t>
      </w:r>
      <w:r w:rsidRPr="00AE525F">
        <w:rPr>
          <w:rFonts w:ascii="Times New Roman" w:hAnsi="Times New Roman"/>
          <w:sz w:val="28"/>
          <w:szCs w:val="28"/>
          <w:lang w:val="uk-UA"/>
        </w:rPr>
        <w:t xml:space="preserve">підходи до </w:t>
      </w:r>
      <w:r w:rsidR="006919AE" w:rsidRPr="00AE525F">
        <w:rPr>
          <w:rFonts w:ascii="Times New Roman" w:hAnsi="Times New Roman"/>
          <w:sz w:val="28"/>
          <w:szCs w:val="28"/>
          <w:lang w:val="uk-UA"/>
        </w:rPr>
        <w:t>механізму справляння ПДФО</w:t>
      </w:r>
      <w:r w:rsidR="004D5F7A" w:rsidRPr="00AE525F">
        <w:rPr>
          <w:rFonts w:ascii="Times New Roman" w:hAnsi="Times New Roman"/>
          <w:sz w:val="28"/>
          <w:szCs w:val="28"/>
          <w:lang w:val="uk-UA"/>
        </w:rPr>
        <w:t xml:space="preserve">, </w:t>
      </w:r>
      <w:r w:rsidR="004D5F7A" w:rsidRPr="00820ACA">
        <w:rPr>
          <w:rFonts w:ascii="Times New Roman" w:hAnsi="Times New Roman"/>
          <w:sz w:val="28"/>
          <w:szCs w:val="28"/>
          <w:lang w:val="uk-UA"/>
        </w:rPr>
        <w:t>які сприяли виявленню</w:t>
      </w:r>
      <w:r w:rsidR="006919AE" w:rsidRPr="00AE525F">
        <w:rPr>
          <w:rFonts w:ascii="Times New Roman" w:hAnsi="Times New Roman"/>
          <w:sz w:val="28"/>
          <w:szCs w:val="28"/>
          <w:lang w:val="uk-UA"/>
        </w:rPr>
        <w:t xml:space="preserve"> можливих резервів </w:t>
      </w:r>
      <w:r w:rsidR="006919AE" w:rsidRPr="00AE525F">
        <w:rPr>
          <w:rFonts w:ascii="Times New Roman" w:hAnsi="Times New Roman"/>
          <w:sz w:val="28"/>
          <w:szCs w:val="28"/>
          <w:lang w:val="uk-UA"/>
        </w:rPr>
        <w:lastRenderedPageBreak/>
        <w:t>зростання надходжень місцевих бюджетів. Визначено пріоритетні напрями при здійсненні фінансового контролю за справлянням податкових платежів.</w:t>
      </w:r>
    </w:p>
    <w:p w:rsidR="00232E97" w:rsidRPr="00AE525F" w:rsidRDefault="00232E97" w:rsidP="00232E97">
      <w:pPr>
        <w:pStyle w:val="a3"/>
        <w:ind w:left="0" w:firstLine="709"/>
        <w:jc w:val="both"/>
        <w:rPr>
          <w:sz w:val="28"/>
          <w:szCs w:val="28"/>
          <w:lang w:val="uk-UA"/>
        </w:rPr>
      </w:pPr>
      <w:r w:rsidRPr="00AE525F">
        <w:rPr>
          <w:b/>
          <w:sz w:val="28"/>
          <w:szCs w:val="28"/>
          <w:lang w:val="uk-UA"/>
        </w:rPr>
        <w:t xml:space="preserve">Практична значущість результатів дослідження. </w:t>
      </w:r>
      <w:r w:rsidRPr="00AE525F">
        <w:rPr>
          <w:sz w:val="28"/>
          <w:szCs w:val="28"/>
          <w:lang w:val="uk-UA"/>
        </w:rPr>
        <w:t xml:space="preserve">Отримані результати дослідження </w:t>
      </w:r>
      <w:r w:rsidR="006919AE" w:rsidRPr="00AE525F">
        <w:rPr>
          <w:sz w:val="28"/>
          <w:szCs w:val="28"/>
          <w:lang w:val="uk-UA"/>
        </w:rPr>
        <w:t>можуть виступати</w:t>
      </w:r>
      <w:r w:rsidRPr="00AE525F">
        <w:rPr>
          <w:sz w:val="28"/>
          <w:szCs w:val="28"/>
          <w:lang w:val="uk-UA"/>
        </w:rPr>
        <w:t xml:space="preserve"> підґрунтям для вдосконалення </w:t>
      </w:r>
      <w:r w:rsidR="006919AE" w:rsidRPr="00AE525F">
        <w:rPr>
          <w:sz w:val="28"/>
          <w:szCs w:val="28"/>
          <w:lang w:val="uk-UA"/>
        </w:rPr>
        <w:t>механізму справляння податкових платежів та посилення контрольних заходів за їх мобілізацією</w:t>
      </w:r>
      <w:r w:rsidRPr="00AE525F">
        <w:rPr>
          <w:sz w:val="28"/>
          <w:szCs w:val="28"/>
          <w:lang w:val="uk-UA"/>
        </w:rPr>
        <w:t xml:space="preserve">. </w:t>
      </w:r>
    </w:p>
    <w:p w:rsidR="00232E97" w:rsidRPr="00AE525F" w:rsidRDefault="00232E97" w:rsidP="00232E97">
      <w:pPr>
        <w:pStyle w:val="a3"/>
        <w:ind w:left="0" w:firstLine="709"/>
        <w:jc w:val="both"/>
        <w:rPr>
          <w:b/>
          <w:sz w:val="28"/>
          <w:szCs w:val="28"/>
          <w:lang w:val="uk-UA"/>
        </w:rPr>
      </w:pPr>
      <w:r w:rsidRPr="00AE525F">
        <w:rPr>
          <w:b/>
          <w:sz w:val="28"/>
          <w:szCs w:val="28"/>
          <w:lang w:val="uk-UA"/>
        </w:rPr>
        <w:t>Ключові слова:</w:t>
      </w:r>
      <w:r w:rsidRPr="00AE525F">
        <w:rPr>
          <w:sz w:val="28"/>
          <w:szCs w:val="28"/>
          <w:lang w:val="uk-UA"/>
        </w:rPr>
        <w:t xml:space="preserve"> </w:t>
      </w:r>
      <w:r w:rsidR="006919AE" w:rsidRPr="00AE525F">
        <w:rPr>
          <w:sz w:val="28"/>
          <w:szCs w:val="28"/>
          <w:lang w:val="uk-UA"/>
        </w:rPr>
        <w:t>загальнодержавні податки і збори</w:t>
      </w:r>
      <w:r w:rsidRPr="00AE525F">
        <w:rPr>
          <w:sz w:val="28"/>
          <w:szCs w:val="28"/>
          <w:lang w:val="uk-UA"/>
        </w:rPr>
        <w:t xml:space="preserve">, </w:t>
      </w:r>
      <w:r w:rsidR="006919AE" w:rsidRPr="00AE525F">
        <w:rPr>
          <w:sz w:val="28"/>
          <w:szCs w:val="28"/>
          <w:lang w:val="uk-UA"/>
        </w:rPr>
        <w:t>місцеві бюджети</w:t>
      </w:r>
      <w:r w:rsidRPr="00AE525F">
        <w:rPr>
          <w:sz w:val="28"/>
          <w:szCs w:val="28"/>
          <w:lang w:val="uk-UA"/>
        </w:rPr>
        <w:t xml:space="preserve">, </w:t>
      </w:r>
      <w:r w:rsidR="006919AE" w:rsidRPr="00AE525F">
        <w:rPr>
          <w:sz w:val="28"/>
          <w:szCs w:val="28"/>
          <w:lang w:val="uk-UA"/>
        </w:rPr>
        <w:t>податкові надходження</w:t>
      </w:r>
      <w:r w:rsidRPr="00AE525F">
        <w:rPr>
          <w:sz w:val="28"/>
          <w:szCs w:val="28"/>
          <w:lang w:val="uk-UA"/>
        </w:rPr>
        <w:t xml:space="preserve">, </w:t>
      </w:r>
      <w:r w:rsidR="006919AE" w:rsidRPr="00AE525F">
        <w:rPr>
          <w:sz w:val="28"/>
          <w:szCs w:val="28"/>
          <w:lang w:val="uk-UA"/>
        </w:rPr>
        <w:t>доходи місцевих бюджетів</w:t>
      </w:r>
      <w:r w:rsidRPr="00AE525F">
        <w:rPr>
          <w:sz w:val="28"/>
          <w:szCs w:val="28"/>
          <w:lang w:val="uk-UA"/>
        </w:rPr>
        <w:t xml:space="preserve">, </w:t>
      </w:r>
      <w:r w:rsidR="006919AE" w:rsidRPr="00AE525F">
        <w:rPr>
          <w:sz w:val="28"/>
          <w:szCs w:val="28"/>
          <w:lang w:val="uk-UA"/>
        </w:rPr>
        <w:t>справляння податків</w:t>
      </w:r>
      <w:r w:rsidRPr="00AE525F">
        <w:rPr>
          <w:sz w:val="28"/>
          <w:szCs w:val="28"/>
          <w:lang w:val="uk-UA"/>
        </w:rPr>
        <w:t xml:space="preserve">, </w:t>
      </w:r>
      <w:r w:rsidR="00C8565F" w:rsidRPr="00AE525F">
        <w:rPr>
          <w:sz w:val="28"/>
          <w:szCs w:val="28"/>
          <w:lang w:val="uk-UA"/>
        </w:rPr>
        <w:t>податкові пільги</w:t>
      </w:r>
      <w:r w:rsidRPr="00AE525F">
        <w:rPr>
          <w:sz w:val="28"/>
          <w:szCs w:val="28"/>
          <w:lang w:val="uk-UA"/>
        </w:rPr>
        <w:t>.</w:t>
      </w:r>
    </w:p>
    <w:p w:rsidR="00232E97" w:rsidRPr="00AE525F" w:rsidRDefault="00232E97" w:rsidP="00232E97">
      <w:pPr>
        <w:tabs>
          <w:tab w:val="left" w:pos="1350"/>
        </w:tabs>
        <w:spacing w:after="0" w:line="240" w:lineRule="auto"/>
        <w:ind w:firstLine="709"/>
        <w:contextualSpacing/>
        <w:jc w:val="both"/>
        <w:rPr>
          <w:rFonts w:ascii="Times New Roman" w:hAnsi="Times New Roman"/>
          <w:b/>
          <w:sz w:val="28"/>
          <w:szCs w:val="28"/>
          <w:lang w:val="uk-UA"/>
        </w:rPr>
      </w:pPr>
    </w:p>
    <w:p w:rsidR="007B3550" w:rsidRDefault="007B3550" w:rsidP="007B3550">
      <w:pPr>
        <w:pStyle w:val="a3"/>
        <w:tabs>
          <w:tab w:val="left" w:pos="142"/>
        </w:tabs>
        <w:ind w:left="1069"/>
        <w:jc w:val="center"/>
        <w:rPr>
          <w:b/>
          <w:sz w:val="28"/>
          <w:szCs w:val="28"/>
          <w:lang w:val="uk-UA"/>
        </w:rPr>
      </w:pPr>
      <w:r w:rsidRPr="00AE525F">
        <w:rPr>
          <w:b/>
          <w:sz w:val="28"/>
          <w:szCs w:val="28"/>
          <w:lang w:val="uk-UA"/>
        </w:rPr>
        <w:t>Анотац</w:t>
      </w:r>
      <w:r>
        <w:rPr>
          <w:b/>
          <w:sz w:val="28"/>
          <w:szCs w:val="28"/>
          <w:lang w:val="uk-UA"/>
        </w:rPr>
        <w:t>и</w:t>
      </w:r>
      <w:r w:rsidRPr="00AE525F">
        <w:rPr>
          <w:b/>
          <w:sz w:val="28"/>
          <w:szCs w:val="28"/>
          <w:lang w:val="uk-UA"/>
        </w:rPr>
        <w:t>я</w:t>
      </w:r>
    </w:p>
    <w:p w:rsidR="007B3550" w:rsidRPr="00AE525F" w:rsidRDefault="007B3550" w:rsidP="007B3550">
      <w:pPr>
        <w:pStyle w:val="a3"/>
        <w:tabs>
          <w:tab w:val="left" w:pos="142"/>
        </w:tabs>
        <w:ind w:left="1069"/>
        <w:jc w:val="center"/>
        <w:rPr>
          <w:b/>
          <w:sz w:val="28"/>
          <w:szCs w:val="28"/>
          <w:lang w:val="uk-UA"/>
        </w:rPr>
      </w:pPr>
    </w:p>
    <w:p w:rsidR="007B3550" w:rsidRPr="00AE525F" w:rsidRDefault="007B3550" w:rsidP="007B3550">
      <w:pPr>
        <w:autoSpaceDE w:val="0"/>
        <w:autoSpaceDN w:val="0"/>
        <w:adjustRightInd w:val="0"/>
        <w:spacing w:after="0" w:line="240" w:lineRule="auto"/>
        <w:ind w:firstLine="709"/>
        <w:contextualSpacing/>
        <w:rPr>
          <w:rFonts w:ascii="Times New Roman" w:hAnsi="Times New Roman"/>
          <w:b/>
          <w:sz w:val="28"/>
          <w:szCs w:val="28"/>
          <w:lang w:val="uk-UA"/>
        </w:rPr>
      </w:pPr>
      <w:r w:rsidRPr="00AE525F">
        <w:rPr>
          <w:rFonts w:ascii="Times New Roman" w:hAnsi="Times New Roman"/>
          <w:b/>
          <w:sz w:val="28"/>
          <w:szCs w:val="28"/>
          <w:lang w:val="uk-UA"/>
        </w:rPr>
        <w:t>С</w:t>
      </w:r>
      <w:r>
        <w:rPr>
          <w:rFonts w:ascii="Times New Roman" w:hAnsi="Times New Roman"/>
          <w:b/>
          <w:sz w:val="28"/>
          <w:szCs w:val="28"/>
          <w:lang w:val="uk-UA"/>
        </w:rPr>
        <w:t>ы</w:t>
      </w:r>
      <w:r w:rsidRPr="00AE525F">
        <w:rPr>
          <w:rFonts w:ascii="Times New Roman" w:hAnsi="Times New Roman"/>
          <w:b/>
          <w:sz w:val="28"/>
          <w:szCs w:val="28"/>
          <w:lang w:val="uk-UA"/>
        </w:rPr>
        <w:t xml:space="preserve">дор </w:t>
      </w:r>
      <w:r>
        <w:rPr>
          <w:rFonts w:ascii="Times New Roman" w:hAnsi="Times New Roman"/>
          <w:b/>
          <w:sz w:val="28"/>
          <w:szCs w:val="28"/>
          <w:lang w:val="uk-UA"/>
        </w:rPr>
        <w:t>И</w:t>
      </w:r>
      <w:r w:rsidR="00317149">
        <w:rPr>
          <w:rFonts w:ascii="Times New Roman" w:hAnsi="Times New Roman"/>
          <w:b/>
          <w:sz w:val="28"/>
          <w:szCs w:val="28"/>
          <w:lang w:val="uk-UA"/>
        </w:rPr>
        <w:t>. П., Корнац</w:t>
      </w:r>
      <w:r w:rsidRPr="00AE525F">
        <w:rPr>
          <w:rFonts w:ascii="Times New Roman" w:hAnsi="Times New Roman"/>
          <w:b/>
          <w:sz w:val="28"/>
          <w:szCs w:val="28"/>
          <w:lang w:val="uk-UA"/>
        </w:rPr>
        <w:t>ка Р. М.</w:t>
      </w:r>
    </w:p>
    <w:p w:rsidR="007B3550" w:rsidRDefault="007B3550" w:rsidP="007B3550">
      <w:pPr>
        <w:autoSpaceDE w:val="0"/>
        <w:autoSpaceDN w:val="0"/>
        <w:adjustRightInd w:val="0"/>
        <w:spacing w:after="0" w:line="240" w:lineRule="auto"/>
        <w:ind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ОБЩЕГОСУДАРСТВЕННЫЕ НАЛОГИ И СБОРЫ В КОНТЕКСТЕ НАПОЛНЕНИЯ МЕСНЫХ БЮДЖЕТОВ: РЕАЛИИ ОТЕЧЕСТВЕННОЙ ПРАКТИКИ</w:t>
      </w:r>
    </w:p>
    <w:p w:rsidR="007B3550" w:rsidRPr="00AE525F" w:rsidRDefault="007B3550" w:rsidP="007B355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Цель</w:t>
      </w:r>
      <w:r w:rsidRPr="00AE525F">
        <w:rPr>
          <w:rFonts w:ascii="Times New Roman" w:hAnsi="Times New Roman" w:cs="Times New Roman"/>
          <w:b/>
          <w:sz w:val="28"/>
          <w:szCs w:val="28"/>
          <w:lang w:val="uk-UA"/>
        </w:rPr>
        <w:t xml:space="preserve">. </w:t>
      </w:r>
      <w:r>
        <w:rPr>
          <w:rFonts w:ascii="Times New Roman" w:hAnsi="Times New Roman" w:cs="Times New Roman"/>
          <w:sz w:val="28"/>
          <w:szCs w:val="28"/>
          <w:lang w:val="uk-UA"/>
        </w:rPr>
        <w:t>Осуществить</w:t>
      </w:r>
      <w:r w:rsidRPr="00AE525F">
        <w:rPr>
          <w:rFonts w:ascii="Times New Roman" w:hAnsi="Times New Roman" w:cs="Times New Roman"/>
          <w:sz w:val="28"/>
          <w:szCs w:val="28"/>
          <w:lang w:val="uk-UA"/>
        </w:rPr>
        <w:t xml:space="preserve"> комплексн</w:t>
      </w:r>
      <w:r>
        <w:rPr>
          <w:rFonts w:ascii="Times New Roman" w:hAnsi="Times New Roman" w:cs="Times New Roman"/>
          <w:sz w:val="28"/>
          <w:szCs w:val="28"/>
          <w:lang w:val="uk-UA"/>
        </w:rPr>
        <w:t>ы</w:t>
      </w:r>
      <w:r w:rsidRPr="00AE525F">
        <w:rPr>
          <w:rFonts w:ascii="Times New Roman" w:hAnsi="Times New Roman" w:cs="Times New Roman"/>
          <w:sz w:val="28"/>
          <w:szCs w:val="28"/>
          <w:lang w:val="uk-UA"/>
        </w:rPr>
        <w:t>й анал</w:t>
      </w:r>
      <w:r>
        <w:rPr>
          <w:rFonts w:ascii="Times New Roman" w:hAnsi="Times New Roman" w:cs="Times New Roman"/>
          <w:sz w:val="28"/>
          <w:szCs w:val="28"/>
          <w:lang w:val="uk-UA"/>
        </w:rPr>
        <w:t>и</w:t>
      </w:r>
      <w:r w:rsidRPr="00AE525F">
        <w:rPr>
          <w:rFonts w:ascii="Times New Roman" w:hAnsi="Times New Roman" w:cs="Times New Roman"/>
          <w:sz w:val="28"/>
          <w:szCs w:val="28"/>
          <w:lang w:val="uk-UA"/>
        </w:rPr>
        <w:t xml:space="preserve">з </w:t>
      </w:r>
      <w:r>
        <w:rPr>
          <w:rFonts w:ascii="Times New Roman" w:hAnsi="Times New Roman" w:cs="Times New Roman"/>
          <w:sz w:val="28"/>
          <w:szCs w:val="28"/>
          <w:lang w:val="uk-UA"/>
        </w:rPr>
        <w:t>отечественной</w:t>
      </w:r>
      <w:r w:rsidRPr="00AE525F">
        <w:rPr>
          <w:rFonts w:ascii="Times New Roman" w:hAnsi="Times New Roman" w:cs="Times New Roman"/>
          <w:sz w:val="28"/>
          <w:szCs w:val="28"/>
          <w:lang w:val="uk-UA"/>
        </w:rPr>
        <w:t xml:space="preserve"> практики форм</w:t>
      </w:r>
      <w:r>
        <w:rPr>
          <w:rFonts w:ascii="Times New Roman" w:hAnsi="Times New Roman" w:cs="Times New Roman"/>
          <w:sz w:val="28"/>
          <w:szCs w:val="28"/>
          <w:lang w:val="uk-UA"/>
        </w:rPr>
        <w:t>ирования</w:t>
      </w:r>
      <w:r w:rsidRPr="00AE525F">
        <w:rPr>
          <w:rFonts w:ascii="Times New Roman" w:hAnsi="Times New Roman" w:cs="Times New Roman"/>
          <w:sz w:val="28"/>
          <w:szCs w:val="28"/>
          <w:lang w:val="uk-UA"/>
        </w:rPr>
        <w:t xml:space="preserve"> дох</w:t>
      </w:r>
      <w:r>
        <w:rPr>
          <w:rFonts w:ascii="Times New Roman" w:hAnsi="Times New Roman" w:cs="Times New Roman"/>
          <w:sz w:val="28"/>
          <w:szCs w:val="28"/>
          <w:lang w:val="uk-UA"/>
        </w:rPr>
        <w:t>о</w:t>
      </w:r>
      <w:r w:rsidRPr="00AE525F">
        <w:rPr>
          <w:rFonts w:ascii="Times New Roman" w:hAnsi="Times New Roman" w:cs="Times New Roman"/>
          <w:sz w:val="28"/>
          <w:szCs w:val="28"/>
          <w:lang w:val="uk-UA"/>
        </w:rPr>
        <w:t>дної части м</w:t>
      </w:r>
      <w:r>
        <w:rPr>
          <w:rFonts w:ascii="Times New Roman" w:hAnsi="Times New Roman" w:cs="Times New Roman"/>
          <w:sz w:val="28"/>
          <w:szCs w:val="28"/>
          <w:lang w:val="uk-UA"/>
        </w:rPr>
        <w:t>е</w:t>
      </w:r>
      <w:r w:rsidRPr="00AE525F">
        <w:rPr>
          <w:rFonts w:ascii="Times New Roman" w:hAnsi="Times New Roman" w:cs="Times New Roman"/>
          <w:sz w:val="28"/>
          <w:szCs w:val="28"/>
          <w:lang w:val="uk-UA"/>
        </w:rPr>
        <w:t>с</w:t>
      </w:r>
      <w:r>
        <w:rPr>
          <w:rFonts w:ascii="Times New Roman" w:hAnsi="Times New Roman" w:cs="Times New Roman"/>
          <w:sz w:val="28"/>
          <w:szCs w:val="28"/>
          <w:lang w:val="uk-UA"/>
        </w:rPr>
        <w:t>ны</w:t>
      </w:r>
      <w:r w:rsidRPr="00AE525F">
        <w:rPr>
          <w:rFonts w:ascii="Times New Roman" w:hAnsi="Times New Roman" w:cs="Times New Roman"/>
          <w:sz w:val="28"/>
          <w:szCs w:val="28"/>
          <w:lang w:val="uk-UA"/>
        </w:rPr>
        <w:t>х бюджет</w:t>
      </w:r>
      <w:r>
        <w:rPr>
          <w:rFonts w:ascii="Times New Roman" w:hAnsi="Times New Roman" w:cs="Times New Roman"/>
          <w:sz w:val="28"/>
          <w:szCs w:val="28"/>
          <w:lang w:val="uk-UA"/>
        </w:rPr>
        <w:t>о</w:t>
      </w:r>
      <w:r w:rsidRPr="00AE525F">
        <w:rPr>
          <w:rFonts w:ascii="Times New Roman" w:hAnsi="Times New Roman" w:cs="Times New Roman"/>
          <w:sz w:val="28"/>
          <w:szCs w:val="28"/>
          <w:lang w:val="uk-UA"/>
        </w:rPr>
        <w:t xml:space="preserve">в за </w:t>
      </w:r>
      <w:r>
        <w:rPr>
          <w:rFonts w:ascii="Times New Roman" w:hAnsi="Times New Roman" w:cs="Times New Roman"/>
          <w:sz w:val="28"/>
          <w:szCs w:val="28"/>
          <w:lang w:val="uk-UA"/>
        </w:rPr>
        <w:t>счет</w:t>
      </w:r>
      <w:r w:rsidRPr="00AE525F">
        <w:rPr>
          <w:rFonts w:ascii="Times New Roman" w:hAnsi="Times New Roman" w:cs="Times New Roman"/>
          <w:sz w:val="28"/>
          <w:szCs w:val="28"/>
          <w:lang w:val="uk-UA"/>
        </w:rPr>
        <w:t xml:space="preserve"> </w:t>
      </w:r>
      <w:r>
        <w:rPr>
          <w:rFonts w:ascii="Times New Roman" w:hAnsi="Times New Roman" w:cs="Times New Roman"/>
          <w:sz w:val="28"/>
          <w:szCs w:val="28"/>
          <w:lang w:val="uk-UA"/>
        </w:rPr>
        <w:t>общегосударственных налогов и сборов</w:t>
      </w:r>
      <w:r w:rsidRPr="00AE525F">
        <w:rPr>
          <w:rFonts w:ascii="Times New Roman" w:hAnsi="Times New Roman" w:cs="Times New Roman"/>
          <w:sz w:val="28"/>
          <w:szCs w:val="28"/>
          <w:lang w:val="uk-UA"/>
        </w:rPr>
        <w:t>, в</w:t>
      </w:r>
      <w:r w:rsidR="00317149">
        <w:rPr>
          <w:rFonts w:ascii="Times New Roman" w:hAnsi="Times New Roman" w:cs="Times New Roman"/>
          <w:sz w:val="28"/>
          <w:szCs w:val="28"/>
          <w:lang w:val="uk-UA"/>
        </w:rPr>
        <w:t>ы</w:t>
      </w:r>
      <w:r w:rsidRPr="00AE525F">
        <w:rPr>
          <w:rFonts w:ascii="Times New Roman" w:hAnsi="Times New Roman" w:cs="Times New Roman"/>
          <w:sz w:val="28"/>
          <w:szCs w:val="28"/>
          <w:lang w:val="uk-UA"/>
        </w:rPr>
        <w:t>явит</w:t>
      </w:r>
      <w:r>
        <w:rPr>
          <w:rFonts w:ascii="Times New Roman" w:hAnsi="Times New Roman" w:cs="Times New Roman"/>
          <w:sz w:val="28"/>
          <w:szCs w:val="28"/>
          <w:lang w:val="uk-UA"/>
        </w:rPr>
        <w:t>ь</w:t>
      </w:r>
      <w:r w:rsidRPr="00AE525F">
        <w:rPr>
          <w:rFonts w:ascii="Times New Roman" w:hAnsi="Times New Roman" w:cs="Times New Roman"/>
          <w:sz w:val="28"/>
          <w:szCs w:val="28"/>
          <w:lang w:val="uk-UA"/>
        </w:rPr>
        <w:t xml:space="preserve"> </w:t>
      </w:r>
      <w:r w:rsidR="00317149">
        <w:rPr>
          <w:rFonts w:ascii="Times New Roman" w:hAnsi="Times New Roman" w:cs="Times New Roman"/>
          <w:sz w:val="28"/>
          <w:szCs w:val="28"/>
          <w:lang w:val="uk-UA"/>
        </w:rPr>
        <w:t>недостатки и возможные</w:t>
      </w:r>
      <w:r w:rsidRPr="00AE525F">
        <w:rPr>
          <w:rFonts w:ascii="Times New Roman" w:hAnsi="Times New Roman" w:cs="Times New Roman"/>
          <w:sz w:val="28"/>
          <w:szCs w:val="28"/>
          <w:lang w:val="uk-UA"/>
        </w:rPr>
        <w:t xml:space="preserve"> резерв</w:t>
      </w:r>
      <w:r w:rsidR="00317149">
        <w:rPr>
          <w:rFonts w:ascii="Times New Roman" w:hAnsi="Times New Roman" w:cs="Times New Roman"/>
          <w:sz w:val="28"/>
          <w:szCs w:val="28"/>
          <w:lang w:val="uk-UA"/>
        </w:rPr>
        <w:t>ы</w:t>
      </w:r>
      <w:r w:rsidRPr="00AE525F">
        <w:rPr>
          <w:rFonts w:ascii="Times New Roman" w:hAnsi="Times New Roman" w:cs="Times New Roman"/>
          <w:sz w:val="28"/>
          <w:szCs w:val="28"/>
          <w:lang w:val="uk-UA"/>
        </w:rPr>
        <w:t xml:space="preserve"> </w:t>
      </w:r>
      <w:r w:rsidR="00317149">
        <w:rPr>
          <w:rFonts w:ascii="Times New Roman" w:hAnsi="Times New Roman" w:cs="Times New Roman"/>
          <w:sz w:val="28"/>
          <w:szCs w:val="28"/>
          <w:lang w:val="uk-UA"/>
        </w:rPr>
        <w:t>роста поступлений</w:t>
      </w:r>
      <w:r w:rsidRPr="00AE525F">
        <w:rPr>
          <w:rFonts w:ascii="Times New Roman" w:hAnsi="Times New Roman" w:cs="Times New Roman"/>
          <w:sz w:val="28"/>
          <w:szCs w:val="28"/>
          <w:lang w:val="uk-UA"/>
        </w:rPr>
        <w:t>.</w:t>
      </w:r>
    </w:p>
    <w:p w:rsidR="00317149" w:rsidRDefault="00317149" w:rsidP="00317149">
      <w:pPr>
        <w:pStyle w:val="ac"/>
        <w:spacing w:before="0" w:beforeAutospacing="0" w:after="0" w:afterAutospacing="0"/>
        <w:ind w:firstLine="709"/>
        <w:jc w:val="both"/>
        <w:rPr>
          <w:sz w:val="28"/>
          <w:szCs w:val="28"/>
          <w:lang w:val="ru-RU"/>
        </w:rPr>
      </w:pPr>
      <w:r>
        <w:rPr>
          <w:b/>
          <w:color w:val="000000"/>
          <w:sz w:val="28"/>
          <w:szCs w:val="28"/>
        </w:rPr>
        <w:t xml:space="preserve">Методика </w:t>
      </w:r>
      <w:r>
        <w:rPr>
          <w:b/>
          <w:color w:val="000000"/>
          <w:sz w:val="28"/>
          <w:szCs w:val="28"/>
          <w:lang w:val="ru-RU"/>
        </w:rPr>
        <w:t>исследования</w:t>
      </w:r>
      <w:r w:rsidR="007B3550" w:rsidRPr="00AE525F">
        <w:rPr>
          <w:b/>
          <w:color w:val="000000"/>
          <w:sz w:val="28"/>
          <w:szCs w:val="28"/>
        </w:rPr>
        <w:t xml:space="preserve">. </w:t>
      </w:r>
      <w:r w:rsidR="007B3550" w:rsidRPr="00AE525F">
        <w:rPr>
          <w:color w:val="000000"/>
          <w:sz w:val="28"/>
          <w:szCs w:val="28"/>
        </w:rPr>
        <w:t>В процес</w:t>
      </w:r>
      <w:r w:rsidRPr="00317149">
        <w:rPr>
          <w:color w:val="000000"/>
          <w:sz w:val="28"/>
          <w:szCs w:val="28"/>
        </w:rPr>
        <w:t>се</w:t>
      </w:r>
      <w:r w:rsidR="007B3550" w:rsidRPr="00AE525F">
        <w:rPr>
          <w:color w:val="000000"/>
          <w:sz w:val="28"/>
          <w:szCs w:val="28"/>
        </w:rPr>
        <w:t xml:space="preserve"> </w:t>
      </w:r>
      <w:r w:rsidRPr="00317149">
        <w:rPr>
          <w:color w:val="000000"/>
          <w:sz w:val="28"/>
          <w:szCs w:val="28"/>
        </w:rPr>
        <w:t>исследования</w:t>
      </w:r>
      <w:r>
        <w:rPr>
          <w:color w:val="000000"/>
          <w:sz w:val="28"/>
          <w:szCs w:val="28"/>
        </w:rPr>
        <w:t xml:space="preserve"> </w:t>
      </w:r>
      <w:r w:rsidRPr="00317149">
        <w:rPr>
          <w:color w:val="000000"/>
          <w:sz w:val="28"/>
          <w:szCs w:val="28"/>
        </w:rPr>
        <w:t>использованы</w:t>
      </w:r>
      <w:r w:rsidR="007B3550" w:rsidRPr="00AE525F">
        <w:rPr>
          <w:color w:val="000000"/>
          <w:sz w:val="28"/>
          <w:szCs w:val="28"/>
        </w:rPr>
        <w:t xml:space="preserve"> метод</w:t>
      </w:r>
      <w:r w:rsidRPr="00317149">
        <w:rPr>
          <w:color w:val="000000"/>
          <w:sz w:val="28"/>
          <w:szCs w:val="28"/>
        </w:rPr>
        <w:t>ы</w:t>
      </w:r>
      <w:r w:rsidR="007B3550" w:rsidRPr="00AE525F">
        <w:rPr>
          <w:color w:val="000000"/>
          <w:sz w:val="28"/>
          <w:szCs w:val="28"/>
        </w:rPr>
        <w:t xml:space="preserve"> </w:t>
      </w:r>
      <w:r w:rsidRPr="00317149">
        <w:rPr>
          <w:color w:val="000000"/>
          <w:sz w:val="28"/>
          <w:szCs w:val="28"/>
        </w:rPr>
        <w:t>общенаучных</w:t>
      </w:r>
      <w:r w:rsidR="007B3550" w:rsidRPr="00AE525F">
        <w:rPr>
          <w:color w:val="000000"/>
          <w:sz w:val="28"/>
          <w:szCs w:val="28"/>
        </w:rPr>
        <w:t xml:space="preserve"> </w:t>
      </w:r>
      <w:r w:rsidRPr="00317149">
        <w:rPr>
          <w:color w:val="000000"/>
          <w:sz w:val="28"/>
          <w:szCs w:val="28"/>
        </w:rPr>
        <w:t>и</w:t>
      </w:r>
      <w:r w:rsidR="007B3550" w:rsidRPr="00AE525F">
        <w:rPr>
          <w:color w:val="000000"/>
          <w:sz w:val="28"/>
          <w:szCs w:val="28"/>
        </w:rPr>
        <w:t xml:space="preserve"> емп</w:t>
      </w:r>
      <w:r w:rsidRPr="00317149">
        <w:rPr>
          <w:color w:val="000000"/>
          <w:sz w:val="28"/>
          <w:szCs w:val="28"/>
        </w:rPr>
        <w:t>и</w:t>
      </w:r>
      <w:r w:rsidR="007B3550" w:rsidRPr="00AE525F">
        <w:rPr>
          <w:color w:val="000000"/>
          <w:sz w:val="28"/>
          <w:szCs w:val="28"/>
        </w:rPr>
        <w:t>рич</w:t>
      </w:r>
      <w:r w:rsidRPr="00317149">
        <w:rPr>
          <w:color w:val="000000"/>
          <w:sz w:val="28"/>
          <w:szCs w:val="28"/>
        </w:rPr>
        <w:t>еских</w:t>
      </w:r>
      <w:r w:rsidR="007B3550" w:rsidRPr="00AE525F">
        <w:rPr>
          <w:color w:val="000000"/>
          <w:sz w:val="28"/>
          <w:szCs w:val="28"/>
        </w:rPr>
        <w:t xml:space="preserve"> прийом</w:t>
      </w:r>
      <w:r w:rsidRPr="00317149">
        <w:rPr>
          <w:color w:val="000000"/>
          <w:sz w:val="28"/>
          <w:szCs w:val="28"/>
        </w:rPr>
        <w:t>о</w:t>
      </w:r>
      <w:r w:rsidR="007B3550" w:rsidRPr="00AE525F">
        <w:rPr>
          <w:color w:val="000000"/>
          <w:sz w:val="28"/>
          <w:szCs w:val="28"/>
        </w:rPr>
        <w:t xml:space="preserve">в </w:t>
      </w:r>
      <w:r>
        <w:rPr>
          <w:color w:val="000000"/>
          <w:sz w:val="28"/>
          <w:szCs w:val="28"/>
          <w:lang w:val="ru-RU"/>
        </w:rPr>
        <w:t>экономической</w:t>
      </w:r>
      <w:r w:rsidR="007B3550" w:rsidRPr="00AE525F">
        <w:rPr>
          <w:color w:val="000000"/>
          <w:sz w:val="28"/>
          <w:szCs w:val="28"/>
        </w:rPr>
        <w:t xml:space="preserve"> науки, </w:t>
      </w:r>
      <w:r>
        <w:rPr>
          <w:color w:val="000000"/>
          <w:sz w:val="28"/>
          <w:szCs w:val="28"/>
          <w:lang w:val="ru-RU"/>
        </w:rPr>
        <w:t>которые основываются</w:t>
      </w:r>
      <w:r>
        <w:rPr>
          <w:color w:val="000000"/>
          <w:sz w:val="28"/>
          <w:szCs w:val="28"/>
        </w:rPr>
        <w:t xml:space="preserve"> на системном</w:t>
      </w:r>
      <w:r w:rsidR="007B3550" w:rsidRPr="00AE525F">
        <w:rPr>
          <w:color w:val="000000"/>
          <w:sz w:val="28"/>
          <w:szCs w:val="28"/>
        </w:rPr>
        <w:t xml:space="preserve"> п</w:t>
      </w:r>
      <w:r>
        <w:rPr>
          <w:color w:val="000000"/>
          <w:sz w:val="28"/>
          <w:szCs w:val="28"/>
          <w:lang w:val="ru-RU"/>
        </w:rPr>
        <w:t>о</w:t>
      </w:r>
      <w:r w:rsidR="007B3550" w:rsidRPr="00AE525F">
        <w:rPr>
          <w:color w:val="000000"/>
          <w:sz w:val="28"/>
          <w:szCs w:val="28"/>
        </w:rPr>
        <w:t>дход</w:t>
      </w:r>
      <w:r>
        <w:rPr>
          <w:color w:val="000000"/>
          <w:sz w:val="28"/>
          <w:szCs w:val="28"/>
          <w:lang w:val="ru-RU"/>
        </w:rPr>
        <w:t>е</w:t>
      </w:r>
      <w:r w:rsidR="007B3550" w:rsidRPr="00AE525F">
        <w:rPr>
          <w:color w:val="000000"/>
          <w:sz w:val="28"/>
          <w:szCs w:val="28"/>
        </w:rPr>
        <w:t xml:space="preserve">, </w:t>
      </w:r>
      <w:r>
        <w:rPr>
          <w:sz w:val="28"/>
          <w:szCs w:val="28"/>
          <w:lang w:val="ru-RU"/>
        </w:rPr>
        <w:t>в часности</w:t>
      </w:r>
      <w:r w:rsidR="007B3550" w:rsidRPr="00820ACA">
        <w:rPr>
          <w:sz w:val="28"/>
          <w:szCs w:val="28"/>
        </w:rPr>
        <w:t>:</w:t>
      </w:r>
      <w:r w:rsidR="007B3550" w:rsidRPr="00AE525F">
        <w:rPr>
          <w:color w:val="000000"/>
          <w:sz w:val="28"/>
          <w:szCs w:val="28"/>
        </w:rPr>
        <w:t xml:space="preserve"> метод</w:t>
      </w:r>
      <w:r>
        <w:rPr>
          <w:color w:val="000000"/>
          <w:sz w:val="28"/>
          <w:szCs w:val="28"/>
          <w:lang w:val="ru-RU"/>
        </w:rPr>
        <w:t>ы</w:t>
      </w:r>
      <w:r w:rsidR="007B3550" w:rsidRPr="00AE525F">
        <w:rPr>
          <w:color w:val="000000"/>
          <w:sz w:val="28"/>
          <w:szCs w:val="28"/>
        </w:rPr>
        <w:t xml:space="preserve"> </w:t>
      </w:r>
      <w:r>
        <w:rPr>
          <w:color w:val="000000"/>
          <w:sz w:val="28"/>
          <w:szCs w:val="28"/>
          <w:lang w:val="ru-RU"/>
        </w:rPr>
        <w:t>научного познания</w:t>
      </w:r>
      <w:r w:rsidR="007B3550" w:rsidRPr="00AE525F">
        <w:rPr>
          <w:color w:val="000000"/>
          <w:sz w:val="28"/>
          <w:szCs w:val="28"/>
        </w:rPr>
        <w:t>: д</w:t>
      </w:r>
      <w:r>
        <w:rPr>
          <w:color w:val="000000"/>
          <w:sz w:val="28"/>
          <w:szCs w:val="28"/>
          <w:lang w:val="ru-RU"/>
        </w:rPr>
        <w:t>и</w:t>
      </w:r>
      <w:r w:rsidR="007B3550" w:rsidRPr="00AE525F">
        <w:rPr>
          <w:color w:val="000000"/>
          <w:sz w:val="28"/>
          <w:szCs w:val="28"/>
        </w:rPr>
        <w:t>алектич</w:t>
      </w:r>
      <w:r>
        <w:rPr>
          <w:color w:val="000000"/>
          <w:sz w:val="28"/>
          <w:szCs w:val="28"/>
          <w:lang w:val="ru-RU"/>
        </w:rPr>
        <w:t>еский</w:t>
      </w:r>
      <w:r w:rsidR="007B3550" w:rsidRPr="00AE525F">
        <w:rPr>
          <w:color w:val="000000"/>
          <w:sz w:val="28"/>
          <w:szCs w:val="28"/>
        </w:rPr>
        <w:t xml:space="preserve"> </w:t>
      </w:r>
      <w:r>
        <w:rPr>
          <w:color w:val="000000"/>
          <w:sz w:val="28"/>
          <w:szCs w:val="28"/>
          <w:lang w:val="ru-RU"/>
        </w:rPr>
        <w:t>и</w:t>
      </w:r>
      <w:r w:rsidR="007B3550" w:rsidRPr="00AE525F">
        <w:rPr>
          <w:color w:val="000000"/>
          <w:sz w:val="28"/>
          <w:szCs w:val="28"/>
        </w:rPr>
        <w:t xml:space="preserve"> </w:t>
      </w:r>
      <w:r>
        <w:rPr>
          <w:color w:val="000000"/>
          <w:sz w:val="28"/>
          <w:szCs w:val="28"/>
          <w:lang w:val="ru-RU"/>
        </w:rPr>
        <w:t>логический</w:t>
      </w:r>
      <w:r w:rsidR="007B3550" w:rsidRPr="00AE525F">
        <w:rPr>
          <w:color w:val="000000"/>
          <w:sz w:val="28"/>
          <w:szCs w:val="28"/>
        </w:rPr>
        <w:t>, анал</w:t>
      </w:r>
      <w:r>
        <w:rPr>
          <w:color w:val="000000"/>
          <w:sz w:val="28"/>
          <w:szCs w:val="28"/>
          <w:lang w:val="ru-RU"/>
        </w:rPr>
        <w:t>и</w:t>
      </w:r>
      <w:r w:rsidR="007B3550" w:rsidRPr="00AE525F">
        <w:rPr>
          <w:color w:val="000000"/>
          <w:sz w:val="28"/>
          <w:szCs w:val="28"/>
        </w:rPr>
        <w:t>з</w:t>
      </w:r>
      <w:r>
        <w:rPr>
          <w:color w:val="000000"/>
          <w:sz w:val="28"/>
          <w:szCs w:val="28"/>
          <w:lang w:val="ru-RU"/>
        </w:rPr>
        <w:t>а</w:t>
      </w:r>
      <w:r w:rsidR="007B3550" w:rsidRPr="00AE525F">
        <w:rPr>
          <w:color w:val="000000"/>
          <w:sz w:val="28"/>
          <w:szCs w:val="28"/>
        </w:rPr>
        <w:t xml:space="preserve"> </w:t>
      </w:r>
      <w:r>
        <w:rPr>
          <w:color w:val="000000"/>
          <w:sz w:val="28"/>
          <w:szCs w:val="28"/>
          <w:lang w:val="ru-RU"/>
        </w:rPr>
        <w:t>и</w:t>
      </w:r>
      <w:r w:rsidR="007B3550" w:rsidRPr="00AE525F">
        <w:rPr>
          <w:color w:val="000000"/>
          <w:sz w:val="28"/>
          <w:szCs w:val="28"/>
        </w:rPr>
        <w:t xml:space="preserve"> синтез</w:t>
      </w:r>
      <w:r>
        <w:rPr>
          <w:color w:val="000000"/>
          <w:sz w:val="28"/>
          <w:szCs w:val="28"/>
          <w:lang w:val="ru-RU"/>
        </w:rPr>
        <w:t>а</w:t>
      </w:r>
      <w:r w:rsidR="007B3550" w:rsidRPr="00AE525F">
        <w:rPr>
          <w:color w:val="000000"/>
          <w:sz w:val="28"/>
          <w:szCs w:val="28"/>
        </w:rPr>
        <w:t xml:space="preserve">, </w:t>
      </w:r>
      <w:r>
        <w:rPr>
          <w:color w:val="000000"/>
          <w:sz w:val="28"/>
          <w:szCs w:val="28"/>
          <w:lang w:val="ru-RU"/>
        </w:rPr>
        <w:t>обобщения</w:t>
      </w:r>
      <w:r w:rsidR="007B3550" w:rsidRPr="00AE525F">
        <w:rPr>
          <w:color w:val="000000"/>
          <w:sz w:val="28"/>
          <w:szCs w:val="28"/>
        </w:rPr>
        <w:t>, граф</w:t>
      </w:r>
      <w:r>
        <w:rPr>
          <w:color w:val="000000"/>
          <w:sz w:val="28"/>
          <w:szCs w:val="28"/>
          <w:lang w:val="ru-RU"/>
        </w:rPr>
        <w:t>и</w:t>
      </w:r>
      <w:r w:rsidR="007B3550" w:rsidRPr="00AE525F">
        <w:rPr>
          <w:color w:val="000000"/>
          <w:sz w:val="28"/>
          <w:szCs w:val="28"/>
        </w:rPr>
        <w:t>ч</w:t>
      </w:r>
      <w:r>
        <w:rPr>
          <w:color w:val="000000"/>
          <w:sz w:val="28"/>
          <w:szCs w:val="28"/>
          <w:lang w:val="ru-RU"/>
        </w:rPr>
        <w:t>еско</w:t>
      </w:r>
      <w:r w:rsidR="007B3550" w:rsidRPr="00AE525F">
        <w:rPr>
          <w:color w:val="000000"/>
          <w:sz w:val="28"/>
          <w:szCs w:val="28"/>
        </w:rPr>
        <w:t>го, статистич</w:t>
      </w:r>
      <w:r>
        <w:rPr>
          <w:color w:val="000000"/>
          <w:sz w:val="28"/>
          <w:szCs w:val="28"/>
          <w:lang w:val="ru-RU"/>
        </w:rPr>
        <w:t>еского</w:t>
      </w:r>
      <w:r w:rsidR="007B3550" w:rsidRPr="00AE525F">
        <w:rPr>
          <w:color w:val="000000"/>
          <w:sz w:val="28"/>
          <w:szCs w:val="28"/>
        </w:rPr>
        <w:t xml:space="preserve"> анал</w:t>
      </w:r>
      <w:r>
        <w:rPr>
          <w:color w:val="000000"/>
          <w:sz w:val="28"/>
          <w:szCs w:val="28"/>
          <w:lang w:val="ru-RU"/>
        </w:rPr>
        <w:t>и</w:t>
      </w:r>
      <w:r w:rsidR="007B3550" w:rsidRPr="00AE525F">
        <w:rPr>
          <w:color w:val="000000"/>
          <w:sz w:val="28"/>
          <w:szCs w:val="28"/>
        </w:rPr>
        <w:t>з</w:t>
      </w:r>
      <w:r>
        <w:rPr>
          <w:color w:val="000000"/>
          <w:sz w:val="28"/>
          <w:szCs w:val="28"/>
          <w:lang w:val="ru-RU"/>
        </w:rPr>
        <w:t>а</w:t>
      </w:r>
      <w:r w:rsidR="007B3550" w:rsidRPr="00AE525F">
        <w:rPr>
          <w:color w:val="000000"/>
          <w:sz w:val="28"/>
          <w:szCs w:val="28"/>
        </w:rPr>
        <w:t xml:space="preserve"> – в процес</w:t>
      </w:r>
      <w:r>
        <w:rPr>
          <w:color w:val="000000"/>
          <w:sz w:val="28"/>
          <w:szCs w:val="28"/>
          <w:lang w:val="ru-RU"/>
        </w:rPr>
        <w:t>се</w:t>
      </w:r>
      <w:r w:rsidR="007B3550" w:rsidRPr="00AE525F">
        <w:rPr>
          <w:color w:val="000000"/>
          <w:sz w:val="28"/>
          <w:szCs w:val="28"/>
        </w:rPr>
        <w:t xml:space="preserve"> </w:t>
      </w:r>
      <w:r>
        <w:rPr>
          <w:color w:val="000000"/>
          <w:sz w:val="28"/>
          <w:szCs w:val="28"/>
          <w:lang w:val="ru-RU"/>
        </w:rPr>
        <w:t>оценивания</w:t>
      </w:r>
      <w:r w:rsidR="007B3550" w:rsidRPr="00AE525F">
        <w:rPr>
          <w:color w:val="000000"/>
          <w:sz w:val="28"/>
          <w:szCs w:val="28"/>
        </w:rPr>
        <w:t xml:space="preserve"> </w:t>
      </w:r>
      <w:r w:rsidRPr="00317149">
        <w:rPr>
          <w:sz w:val="28"/>
          <w:szCs w:val="28"/>
        </w:rPr>
        <w:t>общегосударственных налогов и сборов в системе доходов местных бюджетов, научного абстрагирования - при разработке предложений по поиску резервов роста налоговых поступлений местных бюджетов.</w:t>
      </w:r>
    </w:p>
    <w:p w:rsidR="00317149" w:rsidRDefault="00317149" w:rsidP="00317149">
      <w:pPr>
        <w:pStyle w:val="ac"/>
        <w:spacing w:before="0" w:beforeAutospacing="0" w:after="0" w:afterAutospacing="0"/>
        <w:ind w:firstLine="709"/>
        <w:jc w:val="both"/>
        <w:rPr>
          <w:b/>
          <w:sz w:val="28"/>
          <w:szCs w:val="28"/>
          <w:lang w:val="ru-RU"/>
        </w:rPr>
      </w:pPr>
      <w:r w:rsidRPr="00317149">
        <w:rPr>
          <w:b/>
          <w:sz w:val="28"/>
          <w:szCs w:val="28"/>
        </w:rPr>
        <w:t>Результаты исследования.</w:t>
      </w:r>
      <w:r w:rsidRPr="00317149">
        <w:rPr>
          <w:sz w:val="28"/>
          <w:szCs w:val="28"/>
        </w:rPr>
        <w:t xml:space="preserve"> Проведен анализ и выявлены тенденции формирования доходов местных бюджетов. Установлено, что основу формирования налоговых поступлений местных бюджетов составляют общегосударственные налоги и сборы, которые выступают основой для выполнения местными органами власти делегированных полномочий. Определены недостатки отечественной практики вз</w:t>
      </w:r>
      <w:r>
        <w:rPr>
          <w:sz w:val="28"/>
          <w:szCs w:val="28"/>
          <w:lang w:val="ru-RU"/>
        </w:rPr>
        <w:t>ы</w:t>
      </w:r>
      <w:r w:rsidRPr="00317149">
        <w:rPr>
          <w:sz w:val="28"/>
          <w:szCs w:val="28"/>
        </w:rPr>
        <w:t>мания налоговых платежей и возможные резервы их роста, в частности в части поступления НДФЛ. Обоснована необходимость усиления контроля за взиманием налоговых платежей в местные бюджеты Украины.</w:t>
      </w:r>
    </w:p>
    <w:p w:rsidR="00317149" w:rsidRDefault="00317149" w:rsidP="007B3550">
      <w:pPr>
        <w:tabs>
          <w:tab w:val="left" w:pos="1350"/>
        </w:tabs>
        <w:spacing w:after="0" w:line="240" w:lineRule="auto"/>
        <w:ind w:firstLine="709"/>
        <w:contextualSpacing/>
        <w:jc w:val="both"/>
        <w:rPr>
          <w:rFonts w:ascii="Times New Roman" w:hAnsi="Times New Roman" w:cs="Times New Roman"/>
          <w:sz w:val="28"/>
          <w:szCs w:val="28"/>
        </w:rPr>
      </w:pPr>
      <w:r w:rsidRPr="00317149">
        <w:rPr>
          <w:rFonts w:ascii="Times New Roman" w:hAnsi="Times New Roman" w:cs="Times New Roman"/>
          <w:b/>
          <w:sz w:val="28"/>
          <w:szCs w:val="28"/>
        </w:rPr>
        <w:t>Научная новизна исследования.</w:t>
      </w:r>
      <w:r w:rsidRPr="00317149">
        <w:rPr>
          <w:rFonts w:ascii="Times New Roman" w:hAnsi="Times New Roman" w:cs="Times New Roman"/>
          <w:sz w:val="28"/>
          <w:szCs w:val="28"/>
        </w:rPr>
        <w:t xml:space="preserve"> Осуществлен комплексный анализ взимания общегосударственных налогов и сборов в местные бюджеты, который способствовал выявлению недостатков отечественной практики. Усовершенствованы подходы к механизму взимания НДФЛ, которые способствовали выявлению возможных резервов роста поступлений местных бюджетов. Определены приоритетные направления при осуществлении финансового контроля за взиманием налоговых платежей.</w:t>
      </w:r>
    </w:p>
    <w:p w:rsidR="00317149" w:rsidRDefault="00317149" w:rsidP="007B3550">
      <w:pPr>
        <w:tabs>
          <w:tab w:val="left" w:pos="1350"/>
        </w:tabs>
        <w:spacing w:after="0" w:line="240" w:lineRule="auto"/>
        <w:ind w:firstLine="709"/>
        <w:contextualSpacing/>
        <w:jc w:val="both"/>
        <w:rPr>
          <w:rFonts w:ascii="Times New Roman" w:hAnsi="Times New Roman" w:cs="Times New Roman"/>
          <w:sz w:val="28"/>
          <w:szCs w:val="28"/>
        </w:rPr>
      </w:pPr>
      <w:r w:rsidRPr="00317149">
        <w:rPr>
          <w:rFonts w:ascii="Times New Roman" w:hAnsi="Times New Roman" w:cs="Times New Roman"/>
          <w:b/>
          <w:sz w:val="28"/>
          <w:szCs w:val="28"/>
        </w:rPr>
        <w:lastRenderedPageBreak/>
        <w:t>Практическая значимость результатов исследования.</w:t>
      </w:r>
      <w:r w:rsidRPr="00317149">
        <w:rPr>
          <w:rFonts w:ascii="Times New Roman" w:hAnsi="Times New Roman" w:cs="Times New Roman"/>
          <w:sz w:val="28"/>
          <w:szCs w:val="28"/>
        </w:rPr>
        <w:t xml:space="preserve"> Полученные результаты исследования могут выступать основой для совершенствования механизма взимания налоговых платежей и усиления контрольных мероприятий по их мобилизации.</w:t>
      </w:r>
    </w:p>
    <w:p w:rsidR="007B3550" w:rsidRPr="00317149" w:rsidRDefault="00317149" w:rsidP="007B3550">
      <w:pPr>
        <w:tabs>
          <w:tab w:val="left" w:pos="1350"/>
        </w:tabs>
        <w:spacing w:after="0" w:line="240" w:lineRule="auto"/>
        <w:ind w:firstLine="709"/>
        <w:contextualSpacing/>
        <w:jc w:val="both"/>
        <w:rPr>
          <w:rFonts w:ascii="Times New Roman" w:hAnsi="Times New Roman" w:cs="Times New Roman"/>
          <w:b/>
          <w:sz w:val="28"/>
          <w:szCs w:val="28"/>
          <w:lang w:val="uk-UA"/>
        </w:rPr>
      </w:pPr>
      <w:r w:rsidRPr="00317149">
        <w:rPr>
          <w:rFonts w:ascii="Times New Roman" w:hAnsi="Times New Roman" w:cs="Times New Roman"/>
          <w:b/>
          <w:sz w:val="28"/>
          <w:szCs w:val="28"/>
        </w:rPr>
        <w:t>Ключевые слова:</w:t>
      </w:r>
      <w:r w:rsidRPr="00317149">
        <w:rPr>
          <w:rFonts w:ascii="Times New Roman" w:hAnsi="Times New Roman" w:cs="Times New Roman"/>
          <w:sz w:val="28"/>
          <w:szCs w:val="28"/>
        </w:rPr>
        <w:t xml:space="preserve"> общегосударственные налоги и сборы, местные бюджеты, налоговые поступления, доходы местных бюджетов, взимания налогов, налоговые льготы.</w:t>
      </w:r>
    </w:p>
    <w:p w:rsidR="00232E97" w:rsidRPr="007B3550" w:rsidRDefault="00232E97" w:rsidP="00232E97"/>
    <w:p w:rsidR="00232E97" w:rsidRPr="00AE525F" w:rsidRDefault="00232E97" w:rsidP="002B2CFF">
      <w:pPr>
        <w:autoSpaceDE w:val="0"/>
        <w:autoSpaceDN w:val="0"/>
        <w:adjustRightInd w:val="0"/>
        <w:spacing w:after="0" w:line="360" w:lineRule="auto"/>
        <w:jc w:val="both"/>
        <w:rPr>
          <w:rFonts w:ascii="Times New Roman" w:hAnsi="Times New Roman" w:cs="Times New Roman"/>
          <w:i/>
          <w:sz w:val="28"/>
          <w:szCs w:val="28"/>
          <w:lang w:val="uk-UA"/>
        </w:rPr>
      </w:pPr>
    </w:p>
    <w:p w:rsidR="00BB2431" w:rsidRPr="00AE525F" w:rsidRDefault="00BB2431" w:rsidP="00BB2431">
      <w:pPr>
        <w:ind w:firstLine="708"/>
        <w:rPr>
          <w:lang w:val="uk-UA"/>
        </w:rPr>
      </w:pPr>
    </w:p>
    <w:sectPr w:rsidR="00BB2431" w:rsidRPr="00AE525F" w:rsidSect="00FE471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C39" w:rsidRDefault="00F02C39" w:rsidP="00D41ED6">
      <w:pPr>
        <w:spacing w:after="0" w:line="240" w:lineRule="auto"/>
      </w:pPr>
      <w:r>
        <w:separator/>
      </w:r>
    </w:p>
  </w:endnote>
  <w:endnote w:type="continuationSeparator" w:id="0">
    <w:p w:rsidR="00F02C39" w:rsidRDefault="00F02C39" w:rsidP="00D41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alinga">
    <w:altName w:val="Segoe UI"/>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Italic">
    <w:altName w:val="Times New Roman"/>
    <w:panose1 w:val="00000000000000000000"/>
    <w:charset w:val="00"/>
    <w:family w:val="auto"/>
    <w:notTrueType/>
    <w:pitch w:val="default"/>
    <w:sig w:usb0="00000003" w:usb1="00000000" w:usb2="00000000" w:usb3="00000000" w:csb0="00000001" w:csb1="00000000"/>
  </w:font>
  <w:font w:name="MinionPro-Regular">
    <w:altName w:val="MS Mincho"/>
    <w:panose1 w:val="00000000000000000000"/>
    <w:charset w:val="80"/>
    <w:family w:val="auto"/>
    <w:notTrueType/>
    <w:pitch w:val="default"/>
    <w:sig w:usb0="00000201" w:usb1="08070000" w:usb2="00000010" w:usb3="00000000" w:csb0="00020004"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C39" w:rsidRDefault="00F02C39" w:rsidP="00D41ED6">
      <w:pPr>
        <w:spacing w:after="0" w:line="240" w:lineRule="auto"/>
      </w:pPr>
      <w:r>
        <w:separator/>
      </w:r>
    </w:p>
  </w:footnote>
  <w:footnote w:type="continuationSeparator" w:id="0">
    <w:p w:rsidR="00F02C39" w:rsidRDefault="00F02C39" w:rsidP="00D41E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4D3"/>
    <w:multiLevelType w:val="hybridMultilevel"/>
    <w:tmpl w:val="0CEE64D0"/>
    <w:lvl w:ilvl="0" w:tplc="076E49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A4310C"/>
    <w:multiLevelType w:val="hybridMultilevel"/>
    <w:tmpl w:val="0C16062A"/>
    <w:lvl w:ilvl="0" w:tplc="E62E0FA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FBA50C2"/>
    <w:multiLevelType w:val="hybridMultilevel"/>
    <w:tmpl w:val="30D01A1A"/>
    <w:lvl w:ilvl="0" w:tplc="A176CA64">
      <w:start w:val="1"/>
      <w:numFmt w:val="decimal"/>
      <w:lvlText w:val="%1."/>
      <w:lvlJc w:val="left"/>
      <w:pPr>
        <w:ind w:left="928" w:hanging="360"/>
      </w:pPr>
      <w:rPr>
        <w:rFonts w:ascii="Times New Roman" w:eastAsiaTheme="minorHAnsi" w:hAnsi="Times New Roman"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435A57"/>
    <w:multiLevelType w:val="hybridMultilevel"/>
    <w:tmpl w:val="D8C6ADAA"/>
    <w:lvl w:ilvl="0" w:tplc="856C0D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FELayout/>
  </w:compat>
  <w:rsids>
    <w:rsidRoot w:val="00BB2431"/>
    <w:rsid w:val="00002928"/>
    <w:rsid w:val="00030C91"/>
    <w:rsid w:val="000A0774"/>
    <w:rsid w:val="000A521A"/>
    <w:rsid w:val="000F529A"/>
    <w:rsid w:val="00133CDE"/>
    <w:rsid w:val="00155220"/>
    <w:rsid w:val="001A73A1"/>
    <w:rsid w:val="001B14D2"/>
    <w:rsid w:val="0021173C"/>
    <w:rsid w:val="00222C82"/>
    <w:rsid w:val="00232E97"/>
    <w:rsid w:val="00294DEB"/>
    <w:rsid w:val="002B2CFF"/>
    <w:rsid w:val="002C1D3F"/>
    <w:rsid w:val="00317149"/>
    <w:rsid w:val="00336BC1"/>
    <w:rsid w:val="0034336B"/>
    <w:rsid w:val="003462FA"/>
    <w:rsid w:val="003F4A70"/>
    <w:rsid w:val="00406446"/>
    <w:rsid w:val="004265B8"/>
    <w:rsid w:val="004B0E9C"/>
    <w:rsid w:val="004D5F7A"/>
    <w:rsid w:val="004E0434"/>
    <w:rsid w:val="00522110"/>
    <w:rsid w:val="005364F1"/>
    <w:rsid w:val="00596643"/>
    <w:rsid w:val="005977BA"/>
    <w:rsid w:val="006267E4"/>
    <w:rsid w:val="00657CD4"/>
    <w:rsid w:val="006919AE"/>
    <w:rsid w:val="006A37E9"/>
    <w:rsid w:val="00752377"/>
    <w:rsid w:val="007B3550"/>
    <w:rsid w:val="007B70E8"/>
    <w:rsid w:val="00820ACA"/>
    <w:rsid w:val="00837B51"/>
    <w:rsid w:val="0084025F"/>
    <w:rsid w:val="00857E29"/>
    <w:rsid w:val="00874CBA"/>
    <w:rsid w:val="008864A4"/>
    <w:rsid w:val="008A7C7D"/>
    <w:rsid w:val="00911EA8"/>
    <w:rsid w:val="00934322"/>
    <w:rsid w:val="009555FE"/>
    <w:rsid w:val="009D4BFB"/>
    <w:rsid w:val="009F5BC0"/>
    <w:rsid w:val="00A11DFE"/>
    <w:rsid w:val="00A147BB"/>
    <w:rsid w:val="00A3102E"/>
    <w:rsid w:val="00A53901"/>
    <w:rsid w:val="00AC518E"/>
    <w:rsid w:val="00AD44AB"/>
    <w:rsid w:val="00AE0EBF"/>
    <w:rsid w:val="00AE525F"/>
    <w:rsid w:val="00AE7E8C"/>
    <w:rsid w:val="00B26132"/>
    <w:rsid w:val="00B5052C"/>
    <w:rsid w:val="00B665FF"/>
    <w:rsid w:val="00B77C19"/>
    <w:rsid w:val="00BB2431"/>
    <w:rsid w:val="00BB575A"/>
    <w:rsid w:val="00BE7D76"/>
    <w:rsid w:val="00C21BEB"/>
    <w:rsid w:val="00C40FFB"/>
    <w:rsid w:val="00C6339E"/>
    <w:rsid w:val="00C805EF"/>
    <w:rsid w:val="00C8565F"/>
    <w:rsid w:val="00D03EB4"/>
    <w:rsid w:val="00D41ED6"/>
    <w:rsid w:val="00D50D0A"/>
    <w:rsid w:val="00DE7196"/>
    <w:rsid w:val="00E1598A"/>
    <w:rsid w:val="00E57F51"/>
    <w:rsid w:val="00EB06DF"/>
    <w:rsid w:val="00EF70C6"/>
    <w:rsid w:val="00EF7107"/>
    <w:rsid w:val="00F02C39"/>
    <w:rsid w:val="00F12C20"/>
    <w:rsid w:val="00F14D03"/>
    <w:rsid w:val="00F22ACD"/>
    <w:rsid w:val="00F5454B"/>
    <w:rsid w:val="00FB5F27"/>
    <w:rsid w:val="00FD0480"/>
    <w:rsid w:val="00FE35AB"/>
    <w:rsid w:val="00FE4717"/>
    <w:rsid w:val="00FF5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2431"/>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rsid w:val="00BB24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nhideWhenUsed/>
    <w:rsid w:val="00BB24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BB2431"/>
    <w:rPr>
      <w:rFonts w:ascii="Times New Roman" w:eastAsia="Times New Roman" w:hAnsi="Times New Roman" w:cs="Times New Roman"/>
      <w:sz w:val="24"/>
      <w:szCs w:val="24"/>
      <w:lang w:eastAsia="ru-RU"/>
    </w:rPr>
  </w:style>
  <w:style w:type="paragraph" w:customStyle="1" w:styleId="Default">
    <w:name w:val="Default"/>
    <w:rsid w:val="00BB243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BB24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2431"/>
    <w:rPr>
      <w:rFonts w:ascii="Tahoma" w:hAnsi="Tahoma" w:cs="Tahoma"/>
      <w:sz w:val="16"/>
      <w:szCs w:val="16"/>
    </w:rPr>
  </w:style>
  <w:style w:type="paragraph" w:styleId="a9">
    <w:name w:val="footer"/>
    <w:basedOn w:val="a"/>
    <w:link w:val="aa"/>
    <w:uiPriority w:val="99"/>
    <w:semiHidden/>
    <w:unhideWhenUsed/>
    <w:rsid w:val="00C6339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6339E"/>
  </w:style>
  <w:style w:type="character" w:styleId="ab">
    <w:name w:val="Hyperlink"/>
    <w:basedOn w:val="a0"/>
    <w:uiPriority w:val="99"/>
    <w:unhideWhenUsed/>
    <w:rsid w:val="00DE7196"/>
    <w:rPr>
      <w:color w:val="0000FF" w:themeColor="hyperlink"/>
      <w:u w:val="single"/>
    </w:rPr>
  </w:style>
  <w:style w:type="paragraph" w:styleId="ac">
    <w:name w:val="Normal (Web)"/>
    <w:aliases w:val="Обычный (Web),Обычный (Web)1"/>
    <w:basedOn w:val="a"/>
    <w:link w:val="ad"/>
    <w:uiPriority w:val="99"/>
    <w:unhideWhenUsed/>
    <w:rsid w:val="00232E97"/>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character" w:customStyle="1" w:styleId="ad">
    <w:name w:val="Обычный (веб) Знак"/>
    <w:aliases w:val="Обычный (Web) Знак,Обычный (Web)1 Знак"/>
    <w:link w:val="ac"/>
    <w:uiPriority w:val="99"/>
    <w:locked/>
    <w:rsid w:val="00232E97"/>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2431"/>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rsid w:val="00BB24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nhideWhenUsed/>
    <w:rsid w:val="00BB24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BB2431"/>
    <w:rPr>
      <w:rFonts w:ascii="Times New Roman" w:eastAsia="Times New Roman" w:hAnsi="Times New Roman" w:cs="Times New Roman"/>
      <w:sz w:val="24"/>
      <w:szCs w:val="24"/>
      <w:lang w:eastAsia="ru-RU"/>
    </w:rPr>
  </w:style>
  <w:style w:type="paragraph" w:customStyle="1" w:styleId="Default">
    <w:name w:val="Default"/>
    <w:rsid w:val="00BB243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BB24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2431"/>
    <w:rPr>
      <w:rFonts w:ascii="Tahoma" w:hAnsi="Tahoma" w:cs="Tahoma"/>
      <w:sz w:val="16"/>
      <w:szCs w:val="16"/>
    </w:rPr>
  </w:style>
  <w:style w:type="paragraph" w:styleId="a9">
    <w:name w:val="footer"/>
    <w:basedOn w:val="a"/>
    <w:link w:val="aa"/>
    <w:uiPriority w:val="99"/>
    <w:semiHidden/>
    <w:unhideWhenUsed/>
    <w:rsid w:val="00C6339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6339E"/>
  </w:style>
  <w:style w:type="character" w:styleId="ab">
    <w:name w:val="Hyperlink"/>
    <w:basedOn w:val="a0"/>
    <w:uiPriority w:val="99"/>
    <w:unhideWhenUsed/>
    <w:rsid w:val="00DE7196"/>
    <w:rPr>
      <w:color w:val="0000FF" w:themeColor="hyperlink"/>
      <w:u w:val="single"/>
    </w:rPr>
  </w:style>
  <w:style w:type="paragraph" w:styleId="ac">
    <w:name w:val="Normal (Web)"/>
    <w:aliases w:val="Обычный (Web),Обычный (Web)1"/>
    <w:basedOn w:val="a"/>
    <w:link w:val="ad"/>
    <w:uiPriority w:val="99"/>
    <w:unhideWhenUsed/>
    <w:rsid w:val="00232E97"/>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character" w:customStyle="1" w:styleId="ad">
    <w:name w:val="Обычный (веб) Знак"/>
    <w:aliases w:val="Обычный (Web) Знак,Обычный (Web)1 Знак"/>
    <w:link w:val="ac"/>
    <w:uiPriority w:val="99"/>
    <w:locked/>
    <w:rsid w:val="00232E97"/>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0130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bsec.donnu.edu.ua/article/view/4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818FB-75F8-4AFB-A0C5-D242CC33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4611</Words>
  <Characters>26286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cp:lastPrinted>2018-03-28T19:09:00Z</cp:lastPrinted>
  <dcterms:created xsi:type="dcterms:W3CDTF">2018-05-31T20:43:00Z</dcterms:created>
  <dcterms:modified xsi:type="dcterms:W3CDTF">2018-05-31T20:58:00Z</dcterms:modified>
</cp:coreProperties>
</file>