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49" w:rsidRPr="00644749" w:rsidRDefault="00644749" w:rsidP="00644749">
      <w:pPr>
        <w:shd w:val="clear" w:color="auto" w:fill="ECF0F4"/>
        <w:spacing w:before="75" w:after="75" w:line="240" w:lineRule="auto"/>
        <w:outlineLvl w:val="1"/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</w:pPr>
      <w:r w:rsidRPr="00644749"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  <w:t xml:space="preserve">МЕТОДОЛОГІЯ </w:t>
      </w:r>
      <w:proofErr w:type="gramStart"/>
      <w:r w:rsidRPr="00644749"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  <w:t>ДОСЛ</w:t>
      </w:r>
      <w:proofErr w:type="gramEnd"/>
      <w:r w:rsidRPr="00644749">
        <w:rPr>
          <w:rFonts w:ascii="Verdana" w:eastAsia="Times New Roman" w:hAnsi="Verdana" w:cs="Tahoma"/>
          <w:b/>
          <w:bCs/>
          <w:color w:val="012296"/>
          <w:sz w:val="27"/>
          <w:szCs w:val="27"/>
          <w:lang w:eastAsia="ru-RU"/>
        </w:rPr>
        <w:t>ІДЖЕННЯ ВЗАЄМОВІДНОСИН ДЕРЖАВИ І ЦЕРКВИ</w:t>
      </w:r>
    </w:p>
    <w:p w:rsidR="00644749" w:rsidRPr="00644749" w:rsidRDefault="00644749" w:rsidP="00644749">
      <w:pPr>
        <w:shd w:val="clear" w:color="auto" w:fill="ECF0F4"/>
        <w:spacing w:after="0" w:line="240" w:lineRule="auto"/>
        <w:rPr>
          <w:rFonts w:ascii="Tahoma" w:eastAsia="Times New Roman" w:hAnsi="Tahoma" w:cs="Tahoma"/>
          <w:color w:val="3F5469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05.03.13 22:06 | Автор(и) КРАВЧУК МИКОЛА ВОЛОДИМИРОВИЧ, к.ю.н., доцент, доктор права УВУ, завідувач кафедри теорії та історії держави і права ТНЕУ; КУЗЬ ПАВЛО МИРОСЛАВОВИЧ, студент юридичного факультету ТНЕУ (м</w:t>
      </w:r>
      <w:proofErr w:type="gramStart"/>
      <w:r w:rsidRPr="00644749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.Т</w:t>
      </w:r>
      <w:proofErr w:type="gramEnd"/>
      <w:r w:rsidRPr="00644749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ернопіль) | </w:t>
      </w:r>
      <w:r w:rsidRPr="00644749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ru-RU"/>
        </w:rPr>
        <w:drawing>
          <wp:inline distT="0" distB="0" distL="0" distR="0" wp14:anchorId="47ECB3EA" wp14:editId="5EBEFC69">
            <wp:extent cx="133350" cy="13335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749">
        <w:rPr>
          <w:rFonts w:ascii="Tahoma" w:eastAsia="Times New Roman" w:hAnsi="Tahoma" w:cs="Tahoma"/>
          <w:color w:val="3F5469"/>
          <w:sz w:val="20"/>
          <w:szCs w:val="20"/>
          <w:lang w:eastAsia="ru-RU"/>
        </w:rPr>
        <w:t> | </w:t>
      </w:r>
      <w:r w:rsidRPr="00644749">
        <w:rPr>
          <w:rFonts w:ascii="Tahoma" w:eastAsia="Times New Roman" w:hAnsi="Tahoma" w:cs="Tahoma"/>
          <w:i/>
          <w:iCs/>
          <w:noProof/>
          <w:color w:val="227A97"/>
          <w:sz w:val="20"/>
          <w:szCs w:val="20"/>
          <w:lang w:eastAsia="ru-RU"/>
        </w:rPr>
        <w:drawing>
          <wp:inline distT="0" distB="0" distL="0" distR="0" wp14:anchorId="5FE63144" wp14:editId="1CFCF7D7">
            <wp:extent cx="104775" cy="76200"/>
            <wp:effectExtent l="0" t="0" r="9525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5"/>
      </w:tblGrid>
      <w:tr w:rsidR="00644749" w:rsidRPr="00644749" w:rsidTr="00644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749" w:rsidRPr="00644749" w:rsidRDefault="00644749" w:rsidP="006447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9" w:history="1">
              <w:r w:rsidRPr="00644749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ru-RU"/>
                </w:rPr>
                <w:t>Науково-практична Інтернет-конференція 05.03.2013</w:t>
              </w:r>
            </w:hyperlink>
            <w:r w:rsidRPr="0064474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- </w:t>
            </w:r>
            <w:hyperlink r:id="rId10" w:history="1">
              <w:r w:rsidRPr="00644749">
                <w:rPr>
                  <w:rFonts w:ascii="Tahoma" w:eastAsia="Times New Roman" w:hAnsi="Tahoma" w:cs="Tahoma"/>
                  <w:color w:val="217692"/>
                  <w:sz w:val="20"/>
                  <w:szCs w:val="20"/>
                  <w:lang w:eastAsia="ru-RU"/>
                </w:rPr>
                <w:t>Секція №1</w:t>
              </w:r>
            </w:hyperlink>
          </w:p>
        </w:tc>
      </w:tr>
    </w:tbl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Відносини трьох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іальних інститутів українського суспільства – права, держави та Церкви формувалися протягом досить тривалого часу, а динаміка розвитку цих відносин пов’язана зі всією історією Української держави. Церква у сучасному держав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о-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правотворенні України, як і в минулі часи, відігравала і відіграє вагому роль. Розвиток взаємовідносин держави і Церкви, а також правове закріплення цих відносин у великій мі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залежить від держави. Основу цих відносин закріплено у законодавчих актах про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і, віросповідання та релігійні організації, тому цей взаємовплив цілком залежить від ефективності реалізації прав і свобод особи у цій сфері, в першу чергу конституційних.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Україна, будуючи правову державу, повинна всемірно забезпечити одну з ключових свобод –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і, свободу віросповідання, що передбачена ст. 35 чинної Конституції України. Особливо актуальним для України стало дотримання прав людини, громадянина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ісля підписання нею в 1995 р. договору про приєднання до Конвенції про захист прав людини та основоположних свобод (прийнятої у Римі, 4 листопада 1950 р.), а в 1997 р. її ратифікації. Входження України в Раду Європи поставило перед нею зобов’язання гарантувати кожній людині, що перебуває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 українською юрисдикцією, права і свободи, визначені цією Конвенцією, в тому числі вказані у ст. 9 “Свобода думки, совісті і релігії”. Ця тенденція набула посиленого розвитку після схвалення 22 лютого 2013 року Верховною Радою України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аяви “Про реалізацію євроінтеграційних прагнень України та укладення Угоди про асоціацію між Україною та Європейським Союзом” [2].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Отже,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 вищевказаних правових засад важливо позитивно розвивати взаємовідносини держави і Церкви, при чому єдиної Української Автокефальної Церкви, що є невід’ємним для формування громадянського суспільства.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цього приводу Блаженніший Любомир Гузар зазначив: “Держава не може об’єднати Церкви. Держава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може 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ільки створити певні передумови, абсолютно однаково трактуючи всі існуючі Церкви, які мають об’єднатися. Відтак вона має чекати і тішитися коли відбудеться справжнє об’єднання, бо воно слугує зміцненню держави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… А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ми, віруючі люди, не маємо вибору, нам даний чіткий Божий наказ – Божа заповідь: Єдність Церкви і ми повинні її виконувати… Не має сумніву, що минулі велич і слава Києва були безпосередньо пов’язані з його Церквою” [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3, с.36-37].</w:t>
      </w:r>
      <w:proofErr w:type="gramEnd"/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Про актуальність та значимість цієї проблеми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ідчать всезростаючий авторитет і довіра українського народу до Церкви. Це також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ідтверджує І. Мищак, посилаючись на результати соціологічних опитувань Київського міжнародного інституту соціології (лютий 2012 р.) і соціологічної служби Центру Разумкова (грудень 2011 р.). У першому випадку з’ясовано наскільки громадяни довіряють або не довіряють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ізним суспільним та політичним інституціям і встановлено, що позитивний баланс довіри респондентів є лише для двох інституцій: Церкви (баланс довіри +45%) та ЗМІ (+12%). У другому випадку, проведено порівняння показників недовіри до Церкви у грудні 2000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 груднем 2011 р., якими підтверджено зменшення повної недовіри респондентів з 14,5 % до 7,4 %, тобто у двічі. Отже зазначені дані підтверджують стабільно високий рівень довіри до Церкви на тлі зменшення довіри до влади та інших суспільних інститутів.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ім того, І. Мищак вказав на зростання “усвідомлення респондентами важливої ролі Церкви в суспільстві і визнання її заслуг у порівнянні з іншими інститутами. Водночас подібна позитивна динаміка певною мірою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ідтверджує і про збалансовані державно-церковні відносини та загалом ефективне нормативно-правове регулювання державно-церковних відносин, завдяки чому релігійні організації можуть вільно проводити свою діяльність” [9, с.304].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огляду на вищевказане, для успішного вирішення одного з основних завдань дослідження – аналізу й оцінки розвитку взаємовідносин держави і Церкви, в Україні доцільно обрати певну методологію, науковий інструментарій, що і визначило мету даної публікації. Саме масив, сукупність засобів, підходів, принципів, форм, способів, дієвих прийомів системи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ізнання і дослідницької діяльності суттєво підвищить її результативність.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Нажаль питання взаємовідносин держави і Церкви з точки зору обрання правильної методології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ідження не достатньо висвітлені у наукових розробках, хоча є праці релігієзнавчо-історичного характеру, в яких простежується взаємозв’язок етнонаціональних та державотворчих процесів з релігійно-церковними. У даному контексті уваги заслуговують роботи М. Грушевського, А. Захарчука, А. Колодного, О. Лисенка, І. Луцького, Ю. Федорова, М.Чичеровського, де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проаналізовані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ізні підходи до суті феномену релігії, її ролі у процесі державотворення, впливу на духовно-культурний аспект відродження української нації у процесі переходу суспільства від тотального атеїзму до визнання релігії і Церкви. Значення Церкви у процесі трансформації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ітоглядних пріоритетів Української нації та творення якісно нової системи морально-етичних цінностей народу підкреслюють І. Луцький, О. Каленюк, В.Стецюк. Відносини між державою і Церквою в сучасній Україні розглядалися у працях В.Бондаренка, М. Горячої, О. Грицини, А. В.Ковбана, А. Колодного, А. Лесик, Т. Стефанчишина С. Максимчука та ін. На ролі Церкви у вирішенні суспільних проблем акцентують увагу О.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Гор’яч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єва, Н. Зайцева-Ціпок, О. Самойленко, М. Чировський, Л. Филипишин. Проте, розробок даної проблематики в обраній нами постановці є обмаль, що стимулює до ґрунтовного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ідження цього питання.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Сучасна методологія – складне за змістом і формами вияву утворення, що характеризується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ізноманітними, подекуди протилежними підходами до вивчення історико-правового процесу, розбіжності між якими зумовлені відмінностями у світогляді дослідників й осягненні та розумінні ними правової матерії, умовами їх соціального та індивідуального буття, змінами соціально-політичної, культурологічної ситуації 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іті. Тут доречно цілком погодитись, з думкою відомого вченого А. Фурмана, що методологія – це, передусім, мистецтво осмисленого, майстерного, вишуканого й результативного мислення на предмет того, яким шляхом йти не лише до наукової істини, а й до життєвої правди та людської святості [8, с. 69].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Для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ідження визначеної тематики доцільно використовувати всю гаму методів, які в сучасній науці класифікують по-різному. Однією з найбільш логічних класифікацій, на нашу думку, є поді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на: 1) філософсько-світоглядні методи (діалектики, метафізики); 2)загальнонаукові (системно-структурний, функціональний; формально логічний метод, методи дедукції, індукції, аналізу та синтезу, узагальнення та аналогії, порівняльний та синергетичний методи); 3) спеціальн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о-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або приватно-наукові (конкретно-соціологічний метод (опитування, анкетування, експерименти тощо), статистичний, прогностичний метод, моделювання; математичний метод тощо); 4) спеціально-юридичні методи (формально-догматичний, порівняльно-правовий, метод тлумачення (інтерпретації) правових норм та інші [14, с.12-13; 5, с.23-28; 4, с.12-17].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У процесі вироблення методології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ідження доцільно використовувати комплексний підхід з максимальним застосовуванням загальнонаукових і спеціальних методів наукового пошуку. Діалектичний метод є результативним при проведені аналізу формування прав людини 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ітоглядній та релігійній сфері; здійснення наукової розвідки у царині взаємовпливу права та релігії, державних і релігійних інститутів, при вироблені державно-релігійних відносин, їхнє правове й організаційне забезпечення; при оцінці і визначені ролі правових,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ігійних та інших соціальних норм. На що звертає увагу А.В. Ковбан 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своїй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дисертації, що є прикладом ефективного використання методів у науковій розробці [6].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Також діалектичний метод є ефективний при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ідженні взаємовідносин Церкви та релігійних організацій і держави як юридичних осіб, їх майнові відносини на різних стадіях суспільного розвитку. 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Діалектичний метод, розроблений і сформульований Г. Гегелем на ідеалістичному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ідґрунті, має всеохоплюючий характер і займає визначальне місце у науковому опрацюванні даної теми. Оскільки в основі цього методу лежать принципи всебічності наукового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ізнання, всезагальності, взаємовпливу, то й цінність його є незаперечна. Завдяки цьому методу державно-церковні явища науко обґрунтовуються й оцінюються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ізносторонньо, при цьому велика увага надається передумовам виникнення, їх змісту, визначальним особливостям, формам функціонування, взаємозв’язкам, закономірностям їхнього розвитку, з врахуванням схвального відношення до ідеалістичного світогляду суспільства. 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Історико-правовий метод забезпечує ефективність аналізу “еволюції прав людини в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ігійній сфері в різні історичні періоди державно-церковних відносин і правових систем на території України”. Завдяки цьому науковому інструменту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ідник здатний висвітлити матеріал послідовно, в хронологічному порядку, по мірі їх виникнення, що забезпечить об’єктивність дослідження. Саме аналіз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ізних процесів у державно-церковній сфері на етапах історичного розвитку людства забезпечить виявлення тенденцій і закономірностей їхнього генезису.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ім того, на цій основі можна простежити наявність чи відсутність наступності в розвитку Церкви і права, і дійти висновку про доцільність або недоцільність використання відповідного історичного досвіду. Так, проаналізувавши розвиток прав і свобод людини, зокрема,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та віросповідання в незалежній Україні, можна зробити висновок про наявність тенденції їхнього постійного розширення і посилення їх захисту. Важливим етапом у цьому процесі було прийняття Конституції України та Закону України “Про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 та релігійні організації” [1], які надали юридичної легітимності принципам і засадам, правовим засобам реалізації свободи релігії, її охорони і захисту,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законодавчо внормували окремі галузі державно-церковних відносин, визначили правовий статус діяльності релігійних організацій.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Використання порівняльно-правового методу здатне забезпечити виокремлення особливих рис “права на свободу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ітогляду та віросповідання, відносин держави та релігійних організацій у інших країнах світу в порівнянні з правовим досвідом України у цій сфері” [6].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ім того, цей метод допомагає провести зіставлення юридичних понять, явищ, процесів, виявлення спільностей і відмінностей у державно-церковних відносинах, їхньому правому регулюванню.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Також на те, що порівняльно-правовий метод є ефективний “при з’ясуванні праворозуміння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ізних світоглядних та релігійних концепцій, виявленні особливостей співвідношення правових та релігійних норм, відносин релігійних та державних інститутів у процесі правового й організаційного регулювання та забезпечення діяльності цього механізму” вказує А. В.Ковбан [6].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Системний метод є важливим для розгляду свободи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ітогляду і віросповідання як елемента системи прав і свобод людини та громадянина, а проведення характеристики Церкви і держави – в системі соціальних процесів . Використання цього методу забезпечує всебічний аналіз правового статусу Церкви та релігійних організацій як юридичних осіб, їх співвідношення з іншими державно-правовими інститутами.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Отож, для повноти наукової розвідки взаємовідносин держави і Церкви її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ідґрунтям мають стати фундаментальні ідеї, концептуальні засади, принципи, підходи та методи сучасної методології у поєднанні один з одним, що є запорукою дотримання основних методологічних вимог – всебічності, повноти, істинності наукового дослідження. Визначальною ж парадигмою є ствердження єдності розвитку державно-правової дійсності і Церкви.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ім того, важливим в ході дослідження проблем взаємовідносин держави і Церкви є використання такого методологічного засобу як розробка категорій та понять, “оскільки поняття і категорії є вузловими пунктами пізнання та слугують засобом практичного удосконалення держави-правових явищ” [12, с. 33]. Практично-теоретичний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івень кожного дослідження визначається належним рівнем розробки його понятійно-категоріального апарату, наявність якого власне й виділяє напрямок досліджень у самостійну наукову систему.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Понятійно-категоріальний апарат характеризується внутрішньою будовою, котра складається з окремих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ідструктур у вигляді категорій (понять і суджень), принципів, постулатів, які є підмурками в розробці концепцій, парадигм, виведенні закономірностей. За твердженням О.Ф. Скакун “поняття і категорії завдяки постійному своєму розвитку відкривають можливості для осмислення динаміки конкретних державно-правових явищ, проникнення в їх сутність, глибинні процеси, що відбуваються в них” [12, с. 33].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На думку багатьох вчених у юридичній літературі відсутня усталена термінологія стосовно відносин, які виникають між Церквою і державою, та між державою і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ігійними організаціями. Здебільшого, науковці вивчають державно-конфесійні відносини в межах богословського,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іологічного, філософського, історичного, а не юридично-організаційного підходу.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Термін “Церква” набув широкого розповсюдження в історичній, філософській та богословській літературі, що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ідчить про його багатоаспектність. При цьому термін “Церква”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noBreakHyphen/>
        <w:t xml:space="preserve"> багатозначне поняття: по-перше, це об’єднання віруючих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основі спільного віровчення чи культу; по-друге, згідно з християнськими віровченнями – це містичне тіло Христа – спільнота віруючих у Бозі, сполучена словом божим, священоначалом і таїнствами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 невидимим керівництвом Бога для вічного життя і спасіння [15, с. 646].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Суворов Н. С. характеризував “Церкву” як союз людей, які сповідують християнську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ігію. На відміну від національних і політичних союзів Церква може розглядатися не тільки як спілкування або союз людей, які сповідують вчення Христа, збори або товариство, породжене вірою, але і як дім Божий тобто установа, яка повинна діяти з метою розповсюдження християнської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віри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і насадження християнського життя між людьми [13, с.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2].</w:t>
      </w:r>
      <w:proofErr w:type="gramEnd"/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На думку В. М. Шевченка,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 терміном “Церква” розуміється особливий тип релігійної організації, об’єднання послідовників тієї чи іншої релігії на основі спільності віровчення і культу; християнська культова споруда з вівтарем і приміщенням для проведення богослужінь [18, с. 397].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Досить розповсюджена точка зору, з позиції якої Церква є типом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ігійної організації з складною, чіткою централізованою та ієрархічною системою взаємодії між священиками і віруючими, що здійснює функції вироблення, збереження, передачі релігійної інформації, організації й координації релігійної діяльності та контролю за поведінкою віруючих [16, с.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37].</w:t>
      </w:r>
      <w:proofErr w:type="gramEnd"/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У ст. 5 та ст. 6 Закону України “Про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 та релігійні організації” також відбувається ототожнення понять “Церква” та “релігійні організації” [1], що, на нашу думку, є не зовсім точним. Саме тому, до цього Закону як зазначив А. В.Ковбан, доречно внести зміни, “визначивши Церкву як самостійне централізоване й ієрархічне об’єднання віруючих із відповідним апаратом управління, створене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основі єдиного віровчення чи культу. Основними складовими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створеної дефініції мають стати ознаки: самостійність та структурованість, ієрархічний характер і централізація управління, поділ віруючих на служителі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 мирян, визначена догматична та культова діяльність. Отже, запропоновано, і на нашу думку є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доц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ільним, це та інші поняття, які стосуються релігійних відносин, легітимізувати в окремому розділі Закону під назвою “Визначення основних термінів і понять” [6].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З’ясування змісту поняття «держава», потрібно почати з оцінки її неоднозначного сприйняття, що викликаний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ізним розумінням її суті і визначальних рис. Одні дослідники ототожнювали державу з країною, інші – із суспільством, треті – з колом осіб, що здійснюють владу, сприймаючи її як механізм влади [13, с.19-21]. Всі ці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ідходи відображають лише окремі аспекти функціонування держави – як засобу організації суспільного життя чи знаряддя примусу; як певної територіальної організації населення; як масштабної юридичної особи. Для розкриття обраної теми важливо з’ясувати сутність держави як інституту правового забезпечення взаємовідносин держави і Церкви, як гаранта реалізації свободи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та віросповідання, як механізму влади, яка чітко визначила правовий статус релігійних та атеїстичних організацій і неухильно охороняє його. Сучасний правовий стан держави в основному відповідає вказаним вимогам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Аналіз джерел вказу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є,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що поняття «релігійна організація» також потребує деталізації, уніфікації і з врахуванням наукових пропозицій його сформулювати: як “добровільне, організаційно оформлене, постійно діюче об’єднання віруючих, що базується на єдності, спільній віросповідній парадигмі, культовій, ритуальній, обрядовій практиці, створене ними для задоволення своїх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ігійних і пов’язаних з ними потреб, інтересів та проведення необхідної для цього відповідної діяльності” [11, с. 69].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Таким чином, обґрунтування методологічних засад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ідження взаємовідносин держави і Церкви, його принципів, підходів, системи категорій, встановлення змісту методології, з’ясування сутності основних методів та рівень їх застосування сприятиме оптимізації процесу наукового пізнання, підвищить рівень, результативність і якість спланованого пошуку в цілому. Тому вироблення методології даної наукової розвідки є її визначальним завданням визначеного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ідження.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</w:r>
      <w:r w:rsidRPr="006447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Список використаних джерел: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1. Про свободу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та релігійні організації: Закон України від 23 квітня 1991 року №987-XII. – [Електронний ресурс]. – Режим доступу: – http:// www.rada-gov.ua.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2. Про реалізацію євроінтеграційних прагнень України та укладення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годи про асоціацію між Україною та Європейським Союзом: Заява ВРУ від 22 лютого 2013р. № 30-VII. – [Електронний ресурс]. – Режим доступу: http://zakon4.rada.gov.ua/laws/show/30-18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3. Бути людиною: Збірник цитат Блаженнішого Любомира (Гузара) / Упорядник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гор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Яців. – Львів: Друкарські куншти, 2011. – 96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4. Волинка К.Г. Теорія держави і права: [навч.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іб.] / К.Г. Волинка. – К.: МАУП, 2003. – 240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5. Загальна теорія держави і права: [навч.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іб.] / Р.А. Калюжний, С.М. Тимченко, Н.М.Пархоменко, С.М. Легуша. – К.: Вид. Паливода А.В., 2007. – 296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6. Ковбан А.В. Конституційно-правова регламентація права людини на свободу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ітогляду та віросповідання в Україні: дис. канд. юр. наук: спец. 12.0002. / А.В. Ковбан.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-О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., 2010. – [Електронний ресурс]. – Режим доступу: http://mydisser.com/en/catalog/view/6/344/6990.html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7. Кохановский В.П. Философия и методология науки / В.П. Кохановский.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noBreakHyphen/>
        <w:t xml:space="preserve"> Ростов н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/Д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1999. 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noBreakHyphen/>
        <w:t xml:space="preserve"> 576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8. Кравчук М.В. Методичні засади проведення історико-правового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досл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ідження / М.В.Кравчук // Психологія і суспільство. – 2009. – №3. – С.69-80. 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9. Мищак І.М. Трансформація міжнародно-правових норм у сфері свободи сові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 та віросповідання в конституційне законодавство України / І.М. Мищак // Конституційні засади модернізації України. – К.: Інститут законодавства Верховної Ради України, 2012. – С.303-311.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10. Петряев К.Д. Вопросы методологии исторической науки / К.Д. Петряев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– 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noBreakHyphen/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К., 1971. – 163с.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11. Подопригора Р.А. Государство и религиозные организации (административно-правовые вопросы) / Р.А. Подопригора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–</w:t>
      </w: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noBreakHyphen/>
        <w:t xml:space="preserve"> 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Алматы, 2002. – 324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12. Скакун О.Ф. Теорія держави і права. Енциклопедичний курс: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ідручник. / О.Ф. Скакун. – Х.: Еспада, 2006. – 776 c.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>13. Суворов Н.С. Учебник церковного права/ Н.С. Суворов. – М.: Зерцало, 2004. – 504с.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14. Теорія держави і права (опорні конспекти): [навч.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ібник для студентів вищ. навч. закладів] / Авт.-упорядник Кравчук М.В. – К.: Атіка, 2008. – 288c.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ab/>
        <w:t xml:space="preserve">15. Філософський словник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соц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іальних термінів. – Вид. третє, доповнене. – Х.: Р. И. Ф., 2005 – 672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16. Черній А.М.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ігієзнавство: [навч. посіб.] / А.М. Черній, А.І. Лахно. – К.: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Вид-во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Європейського ун-ту, 2004. – 288 с.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17. Черній А.М.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ігієзнавство: [навч. посіб.]. – К.: Академвидав, 2003. – 351 c.</w:t>
      </w:r>
    </w:p>
    <w:p w:rsidR="00644749" w:rsidRPr="00644749" w:rsidRDefault="00644749" w:rsidP="00644749">
      <w:pPr>
        <w:shd w:val="clear" w:color="auto" w:fill="ECF0F4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ab/>
        <w:t xml:space="preserve">18. Шевченко В.М. Словник-довідник з </w:t>
      </w:r>
      <w:proofErr w:type="gramStart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</w:t>
      </w:r>
      <w:proofErr w:type="gramEnd"/>
      <w:r w:rsidRPr="006447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ігієзнавства / В.М. Шевченко. – К.: Наукова думка, 2004. – 560 с. </w:t>
      </w:r>
    </w:p>
    <w:p w:rsidR="00640372" w:rsidRDefault="00640372">
      <w:bookmarkStart w:id="0" w:name="_GoBack"/>
      <w:bookmarkEnd w:id="0"/>
    </w:p>
    <w:sectPr w:rsidR="0064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49"/>
    <w:rsid w:val="00043287"/>
    <w:rsid w:val="00050566"/>
    <w:rsid w:val="00054DB4"/>
    <w:rsid w:val="00061094"/>
    <w:rsid w:val="00073980"/>
    <w:rsid w:val="0007552B"/>
    <w:rsid w:val="000A16C9"/>
    <w:rsid w:val="000A310C"/>
    <w:rsid w:val="000B1ED1"/>
    <w:rsid w:val="000C45C4"/>
    <w:rsid w:val="000C4EAA"/>
    <w:rsid w:val="000C5294"/>
    <w:rsid w:val="000E2DEF"/>
    <w:rsid w:val="000E5207"/>
    <w:rsid w:val="000F143D"/>
    <w:rsid w:val="00100B0F"/>
    <w:rsid w:val="0016414C"/>
    <w:rsid w:val="001977EB"/>
    <w:rsid w:val="001B5647"/>
    <w:rsid w:val="001C0395"/>
    <w:rsid w:val="001C3B73"/>
    <w:rsid w:val="001C4D3E"/>
    <w:rsid w:val="001D4884"/>
    <w:rsid w:val="00243B37"/>
    <w:rsid w:val="00243F5A"/>
    <w:rsid w:val="00256C55"/>
    <w:rsid w:val="00276510"/>
    <w:rsid w:val="002D73B1"/>
    <w:rsid w:val="002F4F8D"/>
    <w:rsid w:val="003403C4"/>
    <w:rsid w:val="00343B35"/>
    <w:rsid w:val="00381B0A"/>
    <w:rsid w:val="003B5A75"/>
    <w:rsid w:val="003C281C"/>
    <w:rsid w:val="003D1055"/>
    <w:rsid w:val="003D713F"/>
    <w:rsid w:val="003D739D"/>
    <w:rsid w:val="003E1284"/>
    <w:rsid w:val="00410149"/>
    <w:rsid w:val="00445AD5"/>
    <w:rsid w:val="00475CE0"/>
    <w:rsid w:val="00490BFB"/>
    <w:rsid w:val="004A7CC8"/>
    <w:rsid w:val="004B2881"/>
    <w:rsid w:val="004B446F"/>
    <w:rsid w:val="004E0465"/>
    <w:rsid w:val="0051350D"/>
    <w:rsid w:val="0057518D"/>
    <w:rsid w:val="00577D9F"/>
    <w:rsid w:val="005819E8"/>
    <w:rsid w:val="00584A36"/>
    <w:rsid w:val="00585702"/>
    <w:rsid w:val="005858B1"/>
    <w:rsid w:val="00590E6D"/>
    <w:rsid w:val="00593FB8"/>
    <w:rsid w:val="005B5768"/>
    <w:rsid w:val="005D6707"/>
    <w:rsid w:val="005E5907"/>
    <w:rsid w:val="00640372"/>
    <w:rsid w:val="0064327A"/>
    <w:rsid w:val="00644749"/>
    <w:rsid w:val="00664581"/>
    <w:rsid w:val="006707A1"/>
    <w:rsid w:val="006C55CF"/>
    <w:rsid w:val="006C6B9C"/>
    <w:rsid w:val="00704E32"/>
    <w:rsid w:val="00731E19"/>
    <w:rsid w:val="00745FBD"/>
    <w:rsid w:val="00753310"/>
    <w:rsid w:val="0076022B"/>
    <w:rsid w:val="007822B5"/>
    <w:rsid w:val="007A3DF2"/>
    <w:rsid w:val="007C0411"/>
    <w:rsid w:val="007C212F"/>
    <w:rsid w:val="007C5A81"/>
    <w:rsid w:val="007C77AC"/>
    <w:rsid w:val="007E692D"/>
    <w:rsid w:val="007F3F8F"/>
    <w:rsid w:val="008027E2"/>
    <w:rsid w:val="008242D1"/>
    <w:rsid w:val="00854560"/>
    <w:rsid w:val="00893BC8"/>
    <w:rsid w:val="008A01BD"/>
    <w:rsid w:val="008A29B9"/>
    <w:rsid w:val="008A46F5"/>
    <w:rsid w:val="008C7F18"/>
    <w:rsid w:val="008D069D"/>
    <w:rsid w:val="008E4BC5"/>
    <w:rsid w:val="008E77EF"/>
    <w:rsid w:val="00923B8F"/>
    <w:rsid w:val="009363E7"/>
    <w:rsid w:val="009556E3"/>
    <w:rsid w:val="0098685F"/>
    <w:rsid w:val="009B606F"/>
    <w:rsid w:val="009C7427"/>
    <w:rsid w:val="009F7446"/>
    <w:rsid w:val="00A05993"/>
    <w:rsid w:val="00A31FF4"/>
    <w:rsid w:val="00A43907"/>
    <w:rsid w:val="00A536C3"/>
    <w:rsid w:val="00A77C0C"/>
    <w:rsid w:val="00A93172"/>
    <w:rsid w:val="00AA44F0"/>
    <w:rsid w:val="00AC7874"/>
    <w:rsid w:val="00AD41EB"/>
    <w:rsid w:val="00AD584B"/>
    <w:rsid w:val="00AD7ADD"/>
    <w:rsid w:val="00B04EF5"/>
    <w:rsid w:val="00B064C9"/>
    <w:rsid w:val="00B404F2"/>
    <w:rsid w:val="00B61D4D"/>
    <w:rsid w:val="00B717B7"/>
    <w:rsid w:val="00BB4139"/>
    <w:rsid w:val="00BE40E9"/>
    <w:rsid w:val="00C0642E"/>
    <w:rsid w:val="00C07E58"/>
    <w:rsid w:val="00C155F2"/>
    <w:rsid w:val="00C37892"/>
    <w:rsid w:val="00C44D45"/>
    <w:rsid w:val="00C86F81"/>
    <w:rsid w:val="00C9126F"/>
    <w:rsid w:val="00C92780"/>
    <w:rsid w:val="00CE1CFB"/>
    <w:rsid w:val="00CE3C94"/>
    <w:rsid w:val="00CE4660"/>
    <w:rsid w:val="00CE607A"/>
    <w:rsid w:val="00CF377C"/>
    <w:rsid w:val="00CF3A73"/>
    <w:rsid w:val="00CF47D1"/>
    <w:rsid w:val="00D11F1C"/>
    <w:rsid w:val="00D24D76"/>
    <w:rsid w:val="00D7668A"/>
    <w:rsid w:val="00D8309C"/>
    <w:rsid w:val="00D93784"/>
    <w:rsid w:val="00D967A8"/>
    <w:rsid w:val="00DA6B1C"/>
    <w:rsid w:val="00DB5C7D"/>
    <w:rsid w:val="00DB72A6"/>
    <w:rsid w:val="00DC6875"/>
    <w:rsid w:val="00DC7DD1"/>
    <w:rsid w:val="00DD351A"/>
    <w:rsid w:val="00E10691"/>
    <w:rsid w:val="00E355C6"/>
    <w:rsid w:val="00E67231"/>
    <w:rsid w:val="00E92101"/>
    <w:rsid w:val="00E96559"/>
    <w:rsid w:val="00EA46AA"/>
    <w:rsid w:val="00EA516E"/>
    <w:rsid w:val="00EB0FF9"/>
    <w:rsid w:val="00EC4A3C"/>
    <w:rsid w:val="00EC5149"/>
    <w:rsid w:val="00F4153D"/>
    <w:rsid w:val="00F657D8"/>
    <w:rsid w:val="00F70E7D"/>
    <w:rsid w:val="00FA571E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217">
          <w:marLeft w:val="0"/>
          <w:marRight w:val="0"/>
          <w:marTop w:val="0"/>
          <w:marBottom w:val="0"/>
          <w:divBdr>
            <w:top w:val="single" w:sz="2" w:space="1" w:color="CBD5E0"/>
            <w:left w:val="single" w:sz="2" w:space="1" w:color="CBD5E0"/>
            <w:bottom w:val="single" w:sz="2" w:space="1" w:color="CBD5E0"/>
            <w:right w:val="single" w:sz="2" w:space="1" w:color="CBD5E0"/>
          </w:divBdr>
          <w:divsChild>
            <w:div w:id="98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egalactivity.com.ua/index.php?option=com_mailto&amp;tmpl=component&amp;link=aHR0cDovL3d3dy5sZWdhbGFjdGl2aXR5LmNvbS51YS9pbmRleC5waHA/b3B0aW9uPWNvbV9jb250ZW50JnZpZXc9YXJ0aWNsZSZpZD01MDAlM0EyMjAzMTMtMDYmY2F0aWQ9NjAlM0ExLTAzMTMmSXRlbWlkPTc1Jmxhbmc9cnU%3D&amp;lang=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legalactivity.com.ua/index.php?view=article&amp;catid=60:1-0313&amp;id=500:220313-06&amp;tmpl=component&amp;print=1&amp;layout=default&amp;page=&amp;option=com_content&amp;Itemid=75&amp;lang=ru" TargetMode="External"/><Relationship Id="rId10" Type="http://schemas.openxmlformats.org/officeDocument/2006/relationships/hyperlink" Target="http://www.legalactivity.com.ua/index.php?option=com_content&amp;view=category&amp;id=60%3A1-0313&amp;Itemid=75&amp;la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alactivity.com.ua/index.php?option=com_content&amp;view=section&amp;id=17&amp;Itemid=7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vmk</cp:lastModifiedBy>
  <cp:revision>1</cp:revision>
  <dcterms:created xsi:type="dcterms:W3CDTF">2017-01-12T01:54:00Z</dcterms:created>
  <dcterms:modified xsi:type="dcterms:W3CDTF">2017-01-12T01:54:00Z</dcterms:modified>
</cp:coreProperties>
</file>